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pPr w:leftFromText="180" w:rightFromText="180" w:vertAnchor="text" w:horzAnchor="page" w:tblpX="6712" w:tblpY="-810"/>
        <w:tblW w:w="445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455"/>
      </w:tblGrid>
      <w:tr>
        <w:trPr>
          <w:trHeight w:val="48" w:hRule="atLeast"/>
        </w:trPr>
        <w:tc>
          <w:tcPr>
            <w:tcW w:type="dxa" w:w="4455"/>
            <w:tcBorders/>
          </w:tcPr>
          <w:p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color w:val="000000"/>
              </w:rPr>
              <w:t xml:space="preserve">P</w:t>
            </w:r>
            <w:r>
              <w:rPr>
                <w:rFonts w:ascii="Trebuchet MS" w:hAnsi="Trebuchet MS" w:cs="Arial"/>
                <w:color w:val="000000"/>
              </w:rPr>
              <w:t xml:space="preserve">ATVIRTINTA</w:t>
            </w:r>
          </w:p>
        </w:tc>
      </w:tr>
      <w:tr>
        <w:trPr>
          <w:trHeight w:val="645" w:hRule="atLeast"/>
        </w:trPr>
        <w:tc>
          <w:tcPr>
            <w:tcW w:type="dxa" w:w="4455"/>
            <w:tcBorders/>
          </w:tcPr>
          <w:p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>
              <w:rPr>
                <w:rFonts w:ascii="Trebuchet MS" w:hAnsi="Trebuchet MS" w:cs="Arial"/>
                <w:color w:val="000000"/>
              </w:rPr>
              <w:t xml:space="preserve">LITGRID AB 201</w:t>
            </w:r>
            <w:r>
              <w:rPr>
                <w:rFonts w:ascii="Trebuchet MS" w:hAnsi="Trebuchet MS" w:cs="Arial"/>
                <w:color w:val="000000"/>
              </w:rPr>
              <w:t xml:space="preserve">8</w:t>
            </w:r>
            <w:r>
              <w:rPr>
                <w:rFonts w:ascii="Trebuchet MS" w:hAnsi="Trebuchet MS" w:cs="Arial"/>
                <w:color w:val="000000"/>
              </w:rPr>
              <w:t xml:space="preserve"> m. </w:t>
            </w:r>
          </w:p>
          <w:p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>
              <w:rPr>
                <w:rFonts w:ascii="Trebuchet MS" w:hAnsi="Trebuchet MS" w:cs="Arial"/>
                <w:color w:val="000000"/>
                <w:u w:val="single"/>
              </w:rPr>
              <w:t xml:space="preserve">Rugpjūčio 9 </w:t>
            </w:r>
            <w:r>
              <w:rPr>
                <w:rFonts w:ascii="Trebuchet MS" w:hAnsi="Trebuchet MS" w:cs="Arial"/>
                <w:color w:val="000000"/>
                <w:u w:val="single"/>
              </w:rPr>
              <w:t xml:space="preserve">d</w:t>
            </w:r>
            <w:r>
              <w:rPr>
                <w:rFonts w:ascii="Trebuchet MS" w:hAnsi="Trebuchet MS" w:cs="Arial"/>
                <w:color w:val="000000"/>
              </w:rPr>
              <w:t xml:space="preserve">.</w:t>
            </w:r>
          </w:p>
          <w:p>
            <w:pPr>
              <w:spacing w:after="0" w:line="240" w:lineRule="auto"/>
              <w:ind w:right="-1"/>
              <w:rPr>
                <w:rFonts w:ascii="Trebuchet MS" w:hAnsi="Trebuchet MS" w:cs="Arial"/>
                <w:color w:val="000000"/>
              </w:rPr>
            </w:pPr>
            <w:r>
              <w:rPr>
                <w:rFonts w:ascii="Trebuchet MS" w:hAnsi="Trebuchet MS" w:cs="Arial"/>
                <w:color w:val="000000"/>
              </w:rPr>
              <w:t xml:space="preserve">Perdavimo tinklo </w:t>
            </w:r>
            <w:r>
              <w:rPr>
                <w:rFonts w:ascii="Trebuchet MS" w:hAnsi="Trebuchet MS" w:cs="Arial"/>
                <w:color w:val="000000"/>
              </w:rPr>
              <w:t xml:space="preserve">Departamento </w:t>
            </w:r>
            <w:r>
              <w:rPr>
                <w:rFonts w:ascii="Trebuchet MS" w:hAnsi="Trebuchet MS" w:cs="Arial"/>
                <w:color w:val="000000"/>
              </w:rPr>
              <w:t xml:space="preserve">direktoriaus nurodymu Nr.</w:t>
            </w:r>
            <w:r>
              <w:rPr>
                <w:rFonts w:ascii="Trebuchet MS" w:hAnsi="Trebuchet MS" w:cs="Arial"/>
                <w:color w:val="000000"/>
              </w:rPr>
              <w:t xml:space="preserve"> 18NU-234</w:t>
            </w:r>
          </w:p>
          <w:p>
            <w:pPr>
              <w:pStyle w:val="MAZAS"/>
              <w:spacing/>
              <w:ind w:firstLine="0"/>
              <w:jc w:val="center"/>
              <w:rPr>
                <w:rFonts w:ascii="Trebuchet MS" w:hAnsi="Trebuchet MS" w:cs="Arial"/>
                <w:lang w:val="lt-LT"/>
              </w:rPr>
            </w:pPr>
          </w:p>
        </w:tc>
      </w:tr>
    </w:tbl>
    <w:tbl>
      <w:tblPr>
        <w:tblpPr w:leftFromText="180" w:rightFromText="180" w:vertAnchor="text" w:horzAnchor="page" w:tblpX="957" w:tblpY="-931"/>
        <w:tblW w:w="39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969"/>
      </w:tblGrid>
      <w:tr>
        <w:trPr>
          <w:trHeight w:val="154" w:hRule="atLeast"/>
        </w:trPr>
        <w:tc>
          <w:tcPr>
            <w:tcW w:type="dxa" w:w="3969"/>
            <w:tcBorders/>
            <w:shd w:fill="auto" w:color="auto" w:val="clear"/>
          </w:tcPr>
          <w:p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>
              <w:rPr>
                <w:rFonts w:ascii="Trebuchet MS" w:hAnsi="Trebuchet MS" w:cs="Arial"/>
                <w:color w:val="000000"/>
              </w:rPr>
              <w:t xml:space="preserve">APPROVED </w:t>
            </w:r>
            <w:r>
              <w:rPr>
                <w:rFonts w:ascii="Trebuchet MS" w:hAnsi="Trebuchet MS" w:cs="Arial"/>
                <w:color w:val="000000"/>
              </w:rPr>
              <w:t xml:space="preserve">by</w:t>
            </w:r>
          </w:p>
        </w:tc>
      </w:tr>
      <w:tr>
        <w:trPr>
          <w:trHeight w:val="760" w:hRule="atLeast"/>
        </w:trPr>
        <w:tc>
          <w:tcPr>
            <w:tcW w:type="dxa" w:w="3969"/>
            <w:tcBorders/>
            <w:shd w:fill="auto" w:color="auto" w:val="clear"/>
          </w:tcPr>
          <w:p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>
              <w:rPr>
                <w:rFonts w:ascii="Trebuchet MS" w:hAnsi="Trebuchet MS" w:cs="Arial"/>
                <w:color w:val="000000"/>
              </w:rPr>
              <w:t xml:space="preserve">AB LITGRID 201</w:t>
            </w:r>
            <w:r>
              <w:rPr>
                <w:rFonts w:ascii="Trebuchet MS" w:hAnsi="Trebuchet MS" w:cs="Arial"/>
                <w:color w:val="000000"/>
              </w:rPr>
              <w:t xml:space="preserve">8</w:t>
            </w:r>
          </w:p>
          <w:p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  <w:u w:val="single"/>
              </w:rPr>
            </w:pPr>
            <w:r>
              <w:rPr>
                <w:rFonts w:ascii="Trebuchet MS" w:hAnsi="Trebuchet MS" w:cs="Arial"/>
                <w:color w:val="000000"/>
                <w:u w:val="single"/>
              </w:rPr>
              <w:t xml:space="preserve">August</w:t>
            </w:r>
            <w:r>
              <w:rPr>
                <w:rFonts w:ascii="Trebuchet MS" w:hAnsi="Trebuchet MS" w:cs="Arial"/>
                <w:color w:val="000000"/>
                <w:u w:val="single"/>
              </w:rPr>
              <w:t xml:space="preserve"> 9</w:t>
            </w:r>
          </w:p>
          <w:p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>
              <w:rPr>
                <w:rFonts w:ascii="Trebuchet MS" w:hAnsi="Trebuchet MS" w:cs="Arial"/>
                <w:color w:val="000000"/>
              </w:rPr>
              <w:t xml:space="preserve">Transmision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grid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d</w:t>
            </w:r>
            <w:r>
              <w:rPr>
                <w:rFonts w:ascii="Trebuchet MS" w:hAnsi="Trebuchet MS" w:cs="Arial"/>
                <w:color w:val="000000"/>
              </w:rPr>
              <w:t xml:space="preserve">epartment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director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direction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No</w:t>
            </w:r>
            <w:r>
              <w:rPr>
                <w:rFonts w:ascii="Trebuchet MS" w:hAnsi="Trebuchet MS" w:cs="Arial"/>
                <w:color w:val="000000"/>
              </w:rPr>
              <w:t xml:space="preserve">.</w:t>
            </w:r>
            <w:r>
              <w:rPr>
                <w:rFonts w:ascii="Trebuchet MS" w:hAnsi="Trebuchet MS" w:cs="Arial"/>
                <w:color w:val="000000"/>
              </w:rPr>
              <w:t xml:space="preserve"> 18NU-234</w:t>
            </w:r>
          </w:p>
        </w:tc>
      </w:tr>
    </w:tbl>
    <w:p w14:paraId="6A11135D">
      <w:pPr>
        <w:spacing w:after="0" w:line="240" w:lineRule="auto"/>
        <w:rPr>
          <w:rFonts w:ascii="Trebuchet MS" w:hAnsi="Trebuchet MS" w:cs="Arial"/>
          <w:b/>
        </w:rPr>
      </w:pPr>
    </w:p>
    <w:p w14:paraId="2C20CC20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0143AC57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1C372860">
      <w:pPr>
        <w:spacing w:after="0" w:line="24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110 ÷ 400 KV ĮTAMPOS PASTOČIŲ, SKIRSTYKLŲ ĮRENGINIŲ IR ORO LINIJŲ</w:t>
      </w:r>
    </w:p>
    <w:p w14:paraId="0B14A925">
      <w:pPr>
        <w:spacing w:after="0" w:line="24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PLIENINIŲ KONSTRUKCIJŲ DENGIMO CINKU KARŠTUOJU BŪDU</w:t>
      </w:r>
    </w:p>
    <w:p w14:paraId="32A9AD3F">
      <w:pPr>
        <w:spacing w:after="0" w:line="24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STANDARTINIAI TECHNINIAI REIKALAVIMAI</w:t>
      </w:r>
      <w:r>
        <w:rPr>
          <w:rFonts w:ascii="Trebuchet MS" w:hAnsi="Trebuchet MS" w:cs="Arial"/>
          <w:b/>
        </w:rPr>
        <w:t xml:space="preserve"> / STANDAR</w:t>
      </w:r>
      <w:r>
        <w:rPr>
          <w:rFonts w:ascii="Trebuchet MS" w:hAnsi="Trebuchet MS" w:cs="Arial"/>
          <w:b/>
        </w:rPr>
        <w:t xml:space="preserve">D</w:t>
      </w:r>
      <w:r>
        <w:rPr>
          <w:rFonts w:ascii="Trebuchet MS" w:hAnsi="Trebuchet MS" w:cs="Arial"/>
          <w:b/>
        </w:rPr>
        <w:t xml:space="preserve"> TECHNICAL REQUIREMENTS FOR 110 ÷ 400 KV VOLTAGE </w:t>
      </w:r>
      <w:r>
        <w:rPr>
          <w:rFonts w:ascii="Trebuchet MS" w:hAnsi="Trebuchet MS" w:cs="Arial"/>
          <w:b/>
        </w:rPr>
        <w:t xml:space="preserve">SUBSTANTION, </w:t>
      </w:r>
      <w:r>
        <w:rPr>
          <w:rFonts w:ascii="Trebuchet MS" w:hAnsi="Trebuchet MS" w:cs="Arial"/>
          <w:b/>
        </w:rPr>
        <w:t xml:space="preserve">SWITCH</w:t>
      </w:r>
      <w:r>
        <w:rPr>
          <w:rFonts w:ascii="Trebuchet MS" w:hAnsi="Trebuchet MS" w:cs="Arial"/>
          <w:b/>
        </w:rPr>
        <w:t xml:space="preserve">YARD</w:t>
      </w:r>
      <w:r>
        <w:rPr>
          <w:rFonts w:ascii="Trebuchet MS" w:hAnsi="Trebuchet MS" w:cs="Arial"/>
          <w:b/>
        </w:rPr>
        <w:t xml:space="preserve"> EQUIPMENT</w:t>
      </w:r>
      <w:r>
        <w:rPr>
          <w:rFonts w:ascii="Trebuchet MS" w:hAnsi="Trebuchet MS" w:cs="Arial"/>
          <w:b/>
        </w:rPr>
        <w:t xml:space="preserve"> AND</w:t>
      </w:r>
      <w:r>
        <w:rPr>
          <w:rFonts w:ascii="Trebuchet MS" w:hAnsi="Trebuchet MS" w:cs="Arial"/>
          <w:b/>
        </w:rPr>
        <w:t xml:space="preserve"> OWERHEAD LINES</w:t>
      </w:r>
      <w:r>
        <w:rPr>
          <w:rFonts w:ascii="Trebuchet MS" w:hAnsi="Trebuchet MS" w:cs="Arial"/>
          <w:b/>
        </w:rPr>
        <w:t xml:space="preserve"> HOT DIP GALVANIZED COATINGS ON FABRICATED IRON AN</w:t>
      </w:r>
      <w:r>
        <w:rPr>
          <w:rFonts w:ascii="Trebuchet MS" w:hAnsi="Trebuchet MS" w:cs="Arial"/>
          <w:b/>
        </w:rPr>
        <w:t xml:space="preserve">D</w:t>
      </w:r>
      <w:r>
        <w:rPr>
          <w:rFonts w:ascii="Trebuchet MS" w:hAnsi="Trebuchet MS" w:cs="Arial"/>
          <w:b/>
        </w:rPr>
        <w:t xml:space="preserve"> STEEL ARTICLES</w:t>
      </w:r>
    </w:p>
    <w:p w14:paraId="32681FF1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>
        <w:trPr/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Eil.</w:t>
            </w:r>
          </w:p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nr.</w:t>
            </w:r>
            <w:r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 w:cs="Arial"/>
              </w:rPr>
              <w:t xml:space="preserve">Seq</w:t>
            </w:r>
            <w:r>
              <w:rPr>
                <w:rFonts w:ascii="Trebuchet MS" w:hAnsi="Trebuchet MS" w:cs="Arial"/>
              </w:rPr>
              <w:t xml:space="preserve">. </w:t>
            </w:r>
            <w:r>
              <w:rPr>
                <w:rFonts w:ascii="Trebuchet MS" w:hAnsi="Trebuchet MS" w:cs="Arial"/>
              </w:rPr>
              <w:t xml:space="preserve">No</w:t>
            </w:r>
          </w:p>
        </w:tc>
        <w:tc>
          <w:tcPr>
            <w:tcW w:type="dxa" w:w="5103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Įrenginio, įrangos, gaminio ar medžiagos reikalaujamas parametras</w:t>
            </w:r>
            <w:r>
              <w:rPr>
                <w:rFonts w:ascii="Trebuchet MS" w:hAnsi="Trebuchet MS" w:cs="Arial"/>
              </w:rPr>
              <w:t xml:space="preserve"> (mato vnt.)</w:t>
            </w:r>
            <w:r>
              <w:rPr>
                <w:rFonts w:ascii="Trebuchet MS" w:hAnsi="Trebuchet MS" w:cs="Arial"/>
              </w:rPr>
              <w:t xml:space="preserve">, funkcija, išpildymas ar savybė</w:t>
            </w:r>
            <w:r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Device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 xml:space="preserve">equipment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 xml:space="preserve">product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material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required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parameter</w:t>
            </w:r>
            <w:r>
              <w:rPr>
                <w:rFonts w:ascii="Trebuchet MS" w:hAnsi="Trebuchet MS" w:cs="Arial"/>
              </w:rPr>
              <w:t xml:space="preserve"> (</w:t>
            </w:r>
            <w:r>
              <w:rPr>
                <w:rFonts w:ascii="Trebuchet MS" w:hAnsi="Trebuchet MS" w:cs="Arial"/>
              </w:rPr>
              <w:t xml:space="preserve">measuring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unit</w:t>
            </w:r>
            <w:r>
              <w:rPr>
                <w:rFonts w:ascii="Trebuchet MS" w:hAnsi="Trebuchet MS" w:cs="Arial"/>
              </w:rPr>
              <w:t xml:space="preserve">), </w:t>
            </w:r>
            <w:r>
              <w:rPr>
                <w:rFonts w:ascii="Trebuchet MS" w:hAnsi="Trebuchet MS" w:cs="Arial"/>
              </w:rPr>
              <w:t xml:space="preserve">function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 xml:space="preserve">implementation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feature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Reikalaujama parametro (mato vnt.) ar funkcijos reikšmė, išpildymas ar savybė</w:t>
            </w:r>
            <w:r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Required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parameter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function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value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 xml:space="preserve">implementation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feature</w:t>
            </w:r>
          </w:p>
        </w:tc>
      </w:tr>
      <w:tr>
        <w:trPr>
          <w:trHeight w:val="252" w:hRule="atLeast"/>
        </w:trPr>
        <w:tc>
          <w:tcPr>
            <w:tcW w:type="dxa" w:w="704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1.</w:t>
            </w:r>
          </w:p>
        </w:tc>
        <w:tc>
          <w:tcPr>
            <w:tcW w:type="dxa" w:w="9497"/>
            <w:gridSpan w:val="2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Standartai:</w:t>
            </w:r>
            <w:r>
              <w:rPr>
                <w:rFonts w:ascii="Trebuchet MS" w:hAnsi="Trebuchet MS" w:cs="Arial"/>
                <w:b/>
              </w:rPr>
              <w:t xml:space="preserve"> / </w:t>
            </w:r>
            <w:r>
              <w:rPr>
                <w:rFonts w:ascii="Trebuchet MS" w:hAnsi="Trebuchet MS" w:cs="Arial"/>
                <w:b/>
              </w:rPr>
              <w:t xml:space="preserve">Standards</w:t>
            </w:r>
            <w:r>
              <w:rPr>
                <w:rFonts w:ascii="Trebuchet MS" w:hAnsi="Trebuchet MS" w:cs="Arial"/>
                <w:b/>
              </w:rPr>
              <w:t xml:space="preserve">:</w:t>
            </w:r>
          </w:p>
        </w:tc>
      </w:tr>
      <w:tr>
        <w:trPr>
          <w:trHeight w:val="357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1.1.</w:t>
            </w:r>
          </w:p>
        </w:tc>
        <w:tc>
          <w:tcPr>
            <w:tcW w:type="dxa" w:w="510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Ketaus ir plieno gaminių dangos, gautos karštojo cinkavimo būdu</w:t>
            </w:r>
            <w:r>
              <w:rPr>
                <w:rFonts w:ascii="Trebuchet MS" w:hAnsi="Trebuchet MS" w:cs="Arial"/>
              </w:rPr>
              <w:t xml:space="preserve">, turi tenkinti</w:t>
            </w:r>
            <w:r>
              <w:rPr>
                <w:rFonts w:ascii="Trebuchet MS" w:hAnsi="Trebuchet MS" w:cs="Arial"/>
              </w:rPr>
              <w:t xml:space="preserve">:</w:t>
            </w:r>
            <w:r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 w:cs="Arial"/>
              </w:rPr>
              <w:t xml:space="preserve">Hot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dip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galvanized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fabricated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iron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and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steel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articles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must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meet</w:t>
            </w:r>
            <w:r>
              <w:rPr>
                <w:rFonts w:ascii="Trebuchet MS" w:hAnsi="Trebuchet MS" w:cs="Arial"/>
              </w:rPr>
              <w:t xml:space="preserve">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1461</w:t>
            </w:r>
          </w:p>
        </w:tc>
      </w:tr>
      <w:tr>
        <w:trPr>
          <w:trHeight w:val="357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1.2.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eading2"/>
              <w:shd w:val="clear" w:color="auto" w:fill="FFFFFF"/>
              <w:spacing w:before="0"/>
              <w:rPr>
                <w:rFonts w:ascii="Trebuchet MS" w:hAnsi="Trebuchet MS"/>
                <w:color w:val="auto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r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korozinio</w:t>
            </w:r>
            <w:r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 atsparumo principai /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Zinc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coatings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Guidelines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and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recommendations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for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the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protection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against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corrosion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of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iron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and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in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structures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Part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1: General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principles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of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design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and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corrosion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resistance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14713-1</w:t>
            </w:r>
          </w:p>
        </w:tc>
      </w:tr>
      <w:tr>
        <w:trPr>
          <w:trHeight w:val="357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1.3.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eading2"/>
              <w:shd w:val="clear" w:color="auto" w:fill="FFFFFF"/>
              <w:spacing w:before="0"/>
              <w:rPr>
                <w:rFonts w:ascii="Trebuchet MS" w:hAnsi="Trebuchet MS"/>
                <w:color w:val="auto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2 dalis. Karštasis cinkavimas /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Zinc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coatings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Guidelines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and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recommendations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for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the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protection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against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corrosion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of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iron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and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in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structures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Part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2: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Hot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dip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galvanizing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14713-2</w:t>
            </w:r>
          </w:p>
        </w:tc>
      </w:tr>
      <w:tr>
        <w:trPr>
          <w:trHeight w:val="278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1.4.</w:t>
            </w:r>
          </w:p>
        </w:tc>
        <w:tc>
          <w:tcPr>
            <w:tcW w:type="dxa" w:w="510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Karštai valcuoti konstrukcinio plieno gaminiai turi tenkinti:</w:t>
            </w:r>
            <w:r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 w:cs="Arial"/>
              </w:rPr>
              <w:t xml:space="preserve">Hot-r</w:t>
            </w:r>
            <w:r>
              <w:rPr>
                <w:rFonts w:ascii="Trebuchet MS" w:hAnsi="Trebuchet MS" w:cs="Arial"/>
              </w:rPr>
              <w:t xml:space="preserve">olled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structural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steel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products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must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meet</w:t>
            </w:r>
            <w:r>
              <w:rPr>
                <w:rFonts w:ascii="Trebuchet MS" w:hAnsi="Trebuchet MS" w:cs="Arial"/>
              </w:rPr>
              <w:t xml:space="preserve">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10025-</w:t>
            </w:r>
            <w:r>
              <w:rPr>
                <w:rFonts w:ascii="Trebuchet MS" w:hAnsi="Trebuchet MS" w:cs="Arial"/>
              </w:rPr>
              <w:t xml:space="preserve">2</w:t>
            </w:r>
          </w:p>
        </w:tc>
      </w:tr>
      <w:tr>
        <w:trPr>
          <w:trHeight w:val="111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1.5.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Karštuoju būdu apdoroti nelegiruotojo ir smulkiagrūdžio plieno tuščiavid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profiliuočiai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Hot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processing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non-alloy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and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grain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structural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hollow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sections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must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meet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10210-1</w:t>
            </w:r>
          </w:p>
        </w:tc>
      </w:tr>
      <w:tr>
        <w:trPr>
          <w:trHeight w:val="272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1.6.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Nelegiruotojo ir smulkiagrūdžio plieno šaltai formuoti suvirintieji tuščiavid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profiliuočiai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Non-alloy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and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grain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steels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for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cold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formed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welded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structural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hollow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sections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must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meet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10219-1</w:t>
            </w:r>
          </w:p>
        </w:tc>
      </w:tr>
      <w:tr>
        <w:trPr/>
        <w:tc>
          <w:tcPr>
            <w:tcW w:type="dxa" w:w="70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1.7.</w:t>
            </w:r>
          </w:p>
        </w:tc>
        <w:tc>
          <w:tcPr>
            <w:tcW w:type="dxa" w:w="5103"/>
            <w:tcBorders>
              <w:top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Plieno paviršiai paruošiami prieš cinkavimą pagal standartus: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surfaces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prepared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before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galvanizing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in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accordance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with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standards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EN ISO 1461</w:t>
            </w:r>
          </w:p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EN ISO 8501-1</w:t>
            </w:r>
          </w:p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EN ISO 8501-3</w:t>
            </w:r>
          </w:p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12944-3</w:t>
            </w:r>
          </w:p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12944-4</w:t>
            </w:r>
          </w:p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1090-2</w:t>
            </w:r>
          </w:p>
        </w:tc>
      </w:tr>
      <w:tr>
        <w:trPr>
          <w:trHeight w:val="229" w:hRule="atLeast"/>
        </w:trPr>
        <w:tc>
          <w:tcPr>
            <w:tcW w:type="dxa" w:w="70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1.8.</w:t>
            </w:r>
          </w:p>
        </w:tc>
        <w:tc>
          <w:tcPr>
            <w:tcW w:type="dxa" w:w="510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Metalo cheminės sudėties nustatymas optinės emisijos analizės metodu pagal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  <w:vertAlign w:val="superscript"/>
              </w:rPr>
              <w:t xml:space="preserve">(3)</w:t>
            </w:r>
            <w:r>
              <w:rPr>
                <w:rFonts w:ascii="Trebuchet MS" w:hAnsi="Trebuchet MS" w:cs="Arial"/>
              </w:rPr>
              <w:t xml:space="preserve">:</w:t>
            </w:r>
            <w:r>
              <w:rPr>
                <w:rFonts w:ascii="Trebuchet MS" w:hAnsi="Trebuchet MS" w:cs="Arial"/>
              </w:rPr>
              <w:t xml:space="preserve"> /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Metal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chemical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consist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by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optical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emission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spectrometry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according</w:t>
            </w:r>
            <w:r>
              <w:rPr>
                <w:rFonts w:ascii="Trebuchet MS" w:hAnsi="Trebuchet MS" w:cs="Arial"/>
              </w:rPr>
              <w:t xml:space="preserve"> to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  <w:vertAlign w:val="superscript"/>
              </w:rPr>
              <w:t xml:space="preserve">(3)</w:t>
            </w:r>
            <w:r>
              <w:rPr>
                <w:rFonts w:ascii="Trebuchet MS" w:hAnsi="Trebuchet MS" w:cs="Arial"/>
              </w:rPr>
              <w:t xml:space="preserve">:</w:t>
            </w:r>
          </w:p>
        </w:tc>
        <w:tc>
          <w:tcPr>
            <w:tcW w:type="dxa" w:w="439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CR 10320:2006</w:t>
            </w:r>
          </w:p>
        </w:tc>
      </w:tr>
      <w:tr>
        <w:trPr>
          <w:trHeight w:val="237" w:hRule="atLeast"/>
        </w:trPr>
        <w:tc>
          <w:tcPr>
            <w:tcW w:type="dxa" w:w="70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1.9.</w:t>
            </w:r>
          </w:p>
        </w:tc>
        <w:tc>
          <w:tcPr>
            <w:tcW w:type="dxa" w:w="5103"/>
            <w:tcBorders>
              <w:bottom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Storio matavimas notifikuotos įstaigos (ardantis ir neardantys metodai)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  <w:vertAlign w:val="superscript"/>
              </w:rPr>
              <w:t xml:space="preserve">(3)</w:t>
            </w:r>
            <w:r>
              <w:rPr>
                <w:rFonts w:ascii="Trebuchet MS" w:hAnsi="Trebuchet MS" w:cs="Arial"/>
              </w:rPr>
              <w:t xml:space="preserve">:</w:t>
            </w:r>
            <w:r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 w:cs="Arial"/>
              </w:rPr>
              <w:t xml:space="preserve">Measurement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</w:t>
            </w:r>
            <w:r>
              <w:rPr>
                <w:rFonts w:ascii="Trebuchet MS" w:hAnsi="Trebuchet MS" w:cs="Arial"/>
              </w:rPr>
              <w:t xml:space="preserve">hickness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notified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body</w:t>
            </w:r>
            <w:r>
              <w:rPr>
                <w:rFonts w:ascii="Trebuchet MS" w:hAnsi="Trebuchet MS" w:cs="Arial"/>
              </w:rPr>
              <w:t xml:space="preserve"> (</w:t>
            </w:r>
            <w:r>
              <w:rPr>
                <w:rFonts w:ascii="Trebuchet MS" w:hAnsi="Trebuchet MS" w:cs="Arial"/>
              </w:rPr>
              <w:t xml:space="preserve">depleting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and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without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destroying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methods</w:t>
            </w:r>
            <w:r>
              <w:rPr>
                <w:rFonts w:ascii="Trebuchet MS" w:hAnsi="Trebuchet MS" w:cs="Arial"/>
              </w:rPr>
              <w:t xml:space="preserve">)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  <w:vertAlign w:val="superscript"/>
              </w:rPr>
              <w:t xml:space="preserve">(3)</w:t>
            </w:r>
            <w:r>
              <w:rPr>
                <w:rFonts w:ascii="Trebuchet MS" w:hAnsi="Trebuchet MS" w:cs="Arial"/>
              </w:rPr>
              <w:t xml:space="preserve">:</w:t>
            </w:r>
          </w:p>
        </w:tc>
        <w:tc>
          <w:tcPr>
            <w:tcW w:type="dxa" w:w="439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190"/>
                <w:tab w:val="center" w:pos="1838"/>
              </w:tabs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1463:2004</w:t>
            </w:r>
          </w:p>
          <w:p>
            <w:pPr>
              <w:tabs>
                <w:tab w:val="left" w:pos="1190"/>
                <w:tab w:val="center" w:pos="1838"/>
              </w:tabs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3882:2003</w:t>
            </w:r>
          </w:p>
          <w:p>
            <w:pPr>
              <w:tabs>
                <w:tab w:val="left" w:pos="1190"/>
                <w:tab w:val="center" w:pos="1838"/>
              </w:tabs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2808:2007</w:t>
            </w:r>
          </w:p>
          <w:p>
            <w:pPr>
              <w:tabs>
                <w:tab w:val="left" w:pos="1190"/>
                <w:tab w:val="center" w:pos="1838"/>
              </w:tabs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2178:2001</w:t>
            </w:r>
          </w:p>
        </w:tc>
      </w:tr>
    </w:tbl>
    <w:p w14:paraId="219DF7E6">
      <w:pPr>
        <w:spacing/>
        <w:rPr/>
      </w:pPr>
    </w:p>
    <w:p w14:paraId="443C0580">
      <w:pPr>
        <w:spacing/>
        <w:rPr/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>
        <w:trPr>
          <w:trHeight w:val="232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2</w:t>
            </w:r>
            <w:r>
              <w:rPr>
                <w:rFonts w:ascii="Trebuchet MS" w:hAnsi="Trebuchet MS" w:cs="Arial"/>
                <w:b/>
              </w:rPr>
              <w:t xml:space="preserve">.</w:t>
            </w:r>
          </w:p>
        </w:tc>
        <w:tc>
          <w:tcPr>
            <w:tcW w:type="dxa" w:w="9497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/>
              </w:rPr>
              <w:t xml:space="preserve">Aplinkos sąlygos:</w:t>
            </w:r>
            <w:r>
              <w:rPr>
                <w:rFonts w:ascii="Trebuchet MS" w:hAnsi="Trebuchet MS" w:cs="Arial"/>
                <w:b/>
              </w:rPr>
              <w:t xml:space="preserve"> / </w:t>
            </w:r>
            <w:r>
              <w:rPr>
                <w:rFonts w:ascii="Trebuchet MS" w:hAnsi="Trebuchet MS" w:cs="Arial"/>
                <w:b/>
              </w:rPr>
              <w:t xml:space="preserve">Ambient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conditions</w:t>
            </w:r>
            <w:r>
              <w:rPr>
                <w:rFonts w:ascii="Trebuchet MS" w:hAnsi="Trebuchet MS" w:cs="Arial"/>
                <w:b/>
              </w:rPr>
              <w:t xml:space="preserve">:</w:t>
            </w:r>
          </w:p>
        </w:tc>
      </w:tr>
      <w:tr>
        <w:trPr>
          <w:trHeight w:val="23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2</w:t>
            </w:r>
            <w:r>
              <w:rPr>
                <w:rFonts w:ascii="Trebuchet MS" w:hAnsi="Trebuchet MS" w:cs="Arial"/>
              </w:rPr>
              <w:t xml:space="preserve">.1.</w:t>
            </w:r>
          </w:p>
        </w:tc>
        <w:tc>
          <w:tcPr>
            <w:tcW w:type="dxa" w:w="510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Naudojimo sąlygos</w:t>
            </w:r>
            <w:r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 w:cs="Arial"/>
              </w:rPr>
              <w:t xml:space="preserve">Terms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use</w:t>
            </w:r>
            <w:r>
              <w:rPr>
                <w:rFonts w:ascii="Trebuchet MS" w:hAnsi="Trebuchet MS" w:cs="Arial"/>
              </w:rPr>
              <w:t xml:space="preserve">: 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Atvirame ore</w:t>
            </w:r>
            <w:r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 w:cs="Arial"/>
              </w:rPr>
              <w:t xml:space="preserve">Outdoor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conditions</w:t>
            </w:r>
          </w:p>
        </w:tc>
      </w:tr>
      <w:tr>
        <w:trPr>
          <w:trHeight w:val="854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2</w:t>
            </w:r>
            <w:r>
              <w:rPr>
                <w:rFonts w:ascii="Trebuchet MS" w:hAnsi="Trebuchet MS" w:cs="Arial"/>
              </w:rPr>
              <w:t xml:space="preserve">.2</w:t>
            </w:r>
            <w:r>
              <w:rPr>
                <w:rFonts w:ascii="Trebuchet MS" w:hAnsi="Trebuchet MS" w:cs="Arial"/>
              </w:rPr>
              <w:t xml:space="preserve">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Maksimali eksploatavimo aplinkos temperatūra ne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aukštesnė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 xml:space="preserve">(1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)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/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maximum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operating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ambient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temperature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is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higher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 xml:space="preserve">(1)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+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40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2</w:t>
            </w:r>
            <w:r>
              <w:rPr>
                <w:rFonts w:ascii="Trebuchet MS" w:hAnsi="Trebuchet MS" w:cs="Arial"/>
              </w:rPr>
              <w:t xml:space="preserve">.3</w:t>
            </w:r>
            <w:r>
              <w:rPr>
                <w:rFonts w:ascii="Trebuchet MS" w:hAnsi="Trebuchet MS" w:cs="Arial"/>
              </w:rPr>
              <w:t xml:space="preserve">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Minimali eksploatavimo aplinkos temperatūra ne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žemesnė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 xml:space="preserve">(1)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Minimum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operating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ambient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temperature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 </w:t>
            </w:r>
            <w:r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 xml:space="preserve">(1)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-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40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2</w:t>
            </w:r>
            <w:r>
              <w:rPr>
                <w:rFonts w:ascii="Trebuchet MS" w:hAnsi="Trebuchet MS" w:cs="Arial"/>
              </w:rPr>
              <w:t xml:space="preserve">.4.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Klimato agresyvumo klasė (pagal 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 EN ISO 9223) ne žemesnė kaip: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 xml:space="preserve">(1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</w:t>
            </w:r>
            <w:r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Climate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aggressiveness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class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LST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EN ISO 9223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 xml:space="preserve">(1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C3</w:t>
            </w:r>
          </w:p>
        </w:tc>
      </w:tr>
      <w:tr>
        <w:trPr>
          <w:trHeight w:val="232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3.</w:t>
            </w:r>
          </w:p>
        </w:tc>
        <w:tc>
          <w:tcPr>
            <w:tcW w:type="dxa" w:w="9497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/>
              </w:rPr>
              <w:t xml:space="preserve">Cinko dangos </w:t>
            </w:r>
            <w:r>
              <w:rPr>
                <w:rFonts w:ascii="Trebuchet MS" w:hAnsi="Trebuchet MS" w:cs="Arial"/>
                <w:b/>
              </w:rPr>
              <w:t xml:space="preserve">sluoksnio </w:t>
            </w:r>
            <w:r>
              <w:rPr>
                <w:rFonts w:ascii="Trebuchet MS" w:hAnsi="Trebuchet MS" w:cs="Arial"/>
                <w:b/>
              </w:rPr>
              <w:t xml:space="preserve">storis:</w:t>
            </w:r>
            <w:r>
              <w:rPr>
                <w:rFonts w:ascii="Trebuchet MS" w:hAnsi="Trebuchet MS" w:cs="Arial"/>
                <w:b/>
              </w:rPr>
              <w:t xml:space="preserve"> / </w:t>
            </w:r>
            <w:r>
              <w:rPr>
                <w:rFonts w:ascii="Trebuchet MS" w:hAnsi="Trebuchet MS" w:cs="Arial"/>
                <w:b/>
              </w:rPr>
              <w:t xml:space="preserve">Thi</w:t>
            </w:r>
            <w:r>
              <w:rPr>
                <w:rFonts w:ascii="Trebuchet MS" w:hAnsi="Trebuchet MS" w:cs="Arial"/>
                <w:b/>
              </w:rPr>
              <w:t xml:space="preserve">c</w:t>
            </w:r>
            <w:r>
              <w:rPr>
                <w:rFonts w:ascii="Trebuchet MS" w:hAnsi="Trebuchet MS" w:cs="Arial"/>
                <w:b/>
              </w:rPr>
              <w:t xml:space="preserve">kness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of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Zinc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couating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layer</w:t>
            </w:r>
            <w:r>
              <w:rPr>
                <w:rFonts w:ascii="Trebuchet MS" w:hAnsi="Trebuchet MS" w:cs="Arial"/>
                <w:b/>
              </w:rPr>
              <w:t xml:space="preserve">: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3.1.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>
              <w:rPr>
                <w:rFonts w:ascii="Trebuchet MS" w:hAnsi="Trebuchet MS" w:cs="Arial"/>
              </w:rPr>
              <w:t xml:space="preserve"> plieno storis &gt; 6 mm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structure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overhead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lines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zinc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coating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layer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thickness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when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thikness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6mm (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average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minimum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µm: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150 / 135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3.2.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>
              <w:rPr>
                <w:rFonts w:ascii="Trebuchet MS" w:hAnsi="Trebuchet MS" w:cs="Arial"/>
              </w:rPr>
              <w:t xml:space="preserve"> plieno storis &gt; 3 - ≤ 6 mm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structure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overhead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lines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zinc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coating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layer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thickness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when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thikness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&gt; 3 - ≤ 6 mm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average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minimum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µm: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140 / 115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3.3.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>
              <w:rPr>
                <w:rFonts w:ascii="Trebuchet MS" w:hAnsi="Trebuchet MS" w:cs="Arial"/>
              </w:rPr>
              <w:t xml:space="preserve"> plieno storis ≥ 1 - ≤ 3 mm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structure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overhead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lines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zinc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coating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layer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thickness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when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thikness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≥ 1 - ≤ 3 mm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average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minimum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µm: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95 / 70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3.4.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Pastočių ir skirstyklos įrenginių plieninių konstrukcijų cinko dangos storis turi atitikti: /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Substations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Switchyard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structure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zinc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coating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thickness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meet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LST EN ISO 1461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>
          <w:trHeight w:val="532" w:hRule="atLeast"/>
        </w:trPr>
        <w:tc>
          <w:tcPr>
            <w:tcW w:type="dxa" w:w="70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4.</w:t>
            </w:r>
          </w:p>
        </w:tc>
        <w:tc>
          <w:tcPr>
            <w:tcW w:type="dxa" w:w="9497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Pliene cheminių elementų silicio [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Si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] ir fosforo [P] klasifikacija ir kiekių apribojimai, %: /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chemical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elements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silicon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[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Si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]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and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phosphorus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[P]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classification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and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quantity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, %: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4.1.</w:t>
            </w:r>
          </w:p>
        </w:tc>
        <w:tc>
          <w:tcPr>
            <w:tcW w:type="dxa" w:w="510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color w:val="000000"/>
              </w:rPr>
            </w:pPr>
            <w:r>
              <w:rPr>
                <w:rFonts w:ascii="Trebuchet MS" w:hAnsi="Trebuchet MS" w:cs="Arial"/>
              </w:rPr>
              <w:t xml:space="preserve">Šaltai valcuoti plienai</w:t>
            </w:r>
            <w:r>
              <w:rPr>
                <w:rFonts w:ascii="Trebuchet MS" w:hAnsi="Trebuchet MS" w:cs="Arial"/>
                <w:color w:val="000000"/>
              </w:rPr>
              <w:t xml:space="preserve"> su žemu </w:t>
            </w:r>
            <w:r>
              <w:rPr>
                <w:rFonts w:ascii="Trebuchet MS" w:hAnsi="Trebuchet MS" w:cs="Arial"/>
                <w:color w:val="000000"/>
              </w:rPr>
              <w:t xml:space="preserve">Si</w:t>
            </w:r>
            <w:r>
              <w:rPr>
                <w:rFonts w:ascii="Trebuchet MS" w:hAnsi="Trebuchet MS" w:cs="Arial"/>
                <w:color w:val="000000"/>
              </w:rPr>
              <w:t xml:space="preserve">+</w:t>
            </w:r>
            <w:r>
              <w:rPr>
                <w:rFonts w:ascii="Trebuchet MS" w:hAnsi="Trebuchet MS" w:cs="Arial"/>
                <w:color w:val="000000"/>
              </w:rPr>
              <w:t xml:space="preserve">P</w:t>
            </w:r>
            <w:r>
              <w:rPr>
                <w:rFonts w:ascii="Trebuchet MS" w:hAnsi="Trebuchet MS" w:cs="Arial"/>
                <w:color w:val="000000"/>
              </w:rPr>
              <w:t xml:space="preserve"> kiekiu, ne daugiau: </w:t>
            </w:r>
            <w:r>
              <w:rPr>
                <w:rFonts w:ascii="Trebuchet MS" w:hAnsi="Trebuchet MS" w:cs="Arial"/>
                <w:vertAlign w:val="superscript"/>
              </w:rPr>
              <w:t xml:space="preserve">(5)</w:t>
            </w:r>
            <w:r>
              <w:rPr>
                <w:rFonts w:ascii="Trebuchet MS" w:hAnsi="Trebuchet MS" w:cs="Arial"/>
              </w:rPr>
              <w:t xml:space="preserve"> /  </w:t>
            </w:r>
            <w:r>
              <w:rPr>
                <w:rFonts w:ascii="Trebuchet MS" w:hAnsi="Trebuchet MS" w:cs="Arial"/>
              </w:rPr>
              <w:t xml:space="preserve">Cold-rolled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with</w:t>
            </w:r>
            <w:r>
              <w:rPr>
                <w:rFonts w:ascii="Trebuchet MS" w:hAnsi="Trebuchet MS" w:cs="Arial"/>
                <w:color w:val="000000"/>
              </w:rPr>
              <w:t xml:space="preserve"> a </w:t>
            </w:r>
            <w:r>
              <w:rPr>
                <w:rFonts w:ascii="Trebuchet MS" w:hAnsi="Trebuchet MS" w:cs="Arial"/>
                <w:color w:val="000000"/>
              </w:rPr>
              <w:t xml:space="preserve">low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Si+P</w:t>
            </w:r>
            <w:r>
              <w:rPr>
                <w:rFonts w:ascii="Trebuchet MS" w:hAnsi="Trebuchet MS" w:cs="Arial"/>
                <w:color w:val="000000"/>
              </w:rPr>
              <w:t xml:space="preserve">, </w:t>
            </w:r>
            <w:r>
              <w:rPr>
                <w:rFonts w:ascii="Trebuchet MS" w:hAnsi="Trebuchet MS" w:cs="Arial"/>
                <w:color w:val="000000"/>
              </w:rPr>
              <w:t xml:space="preserve">not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more</w:t>
            </w:r>
            <w:r>
              <w:rPr>
                <w:rFonts w:ascii="Trebuchet MS" w:hAnsi="Trebuchet MS" w:cs="Arial"/>
                <w:color w:val="000000"/>
              </w:rPr>
              <w:t xml:space="preserve">: </w:t>
            </w:r>
            <w:r>
              <w:rPr>
                <w:rFonts w:ascii="Trebuchet MS" w:hAnsi="Trebuchet MS" w:cs="Arial"/>
                <w:color w:val="000000"/>
                <w:vertAlign w:val="superscript"/>
              </w:rPr>
              <w:t xml:space="preserve">(5)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Si</w:t>
            </w:r>
            <w:r>
              <w:rPr>
                <w:rFonts w:ascii="Trebuchet MS" w:hAnsi="Trebuchet MS" w:cs="Arial"/>
              </w:rPr>
              <w:t xml:space="preserve">&lt;0,03 % ir Si+2,5xP&lt;0,04 %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4.2.</w:t>
            </w:r>
          </w:p>
        </w:tc>
        <w:tc>
          <w:tcPr>
            <w:tcW w:type="dxa" w:w="510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color w:val="000000"/>
              </w:rPr>
            </w:pPr>
            <w:r>
              <w:rPr>
                <w:rFonts w:ascii="Trebuchet MS" w:hAnsi="Trebuchet MS" w:cs="Arial"/>
              </w:rPr>
              <w:t xml:space="preserve">Karštai valcuoti </w:t>
            </w:r>
            <w:r>
              <w:rPr>
                <w:rFonts w:ascii="Trebuchet MS" w:hAnsi="Trebuchet MS" w:cs="Arial"/>
                <w:color w:val="000000"/>
              </w:rPr>
              <w:t xml:space="preserve">plienai su žemu </w:t>
            </w:r>
            <w:r>
              <w:rPr>
                <w:rFonts w:ascii="Trebuchet MS" w:hAnsi="Trebuchet MS" w:cs="Arial"/>
                <w:color w:val="000000"/>
              </w:rPr>
              <w:t xml:space="preserve">Si</w:t>
            </w:r>
            <w:r>
              <w:rPr>
                <w:rFonts w:ascii="Trebuchet MS" w:hAnsi="Trebuchet MS" w:cs="Arial"/>
                <w:color w:val="000000"/>
              </w:rPr>
              <w:t xml:space="preserve">+</w:t>
            </w:r>
            <w:r>
              <w:rPr>
                <w:rFonts w:ascii="Trebuchet MS" w:hAnsi="Trebuchet MS" w:cs="Arial"/>
                <w:color w:val="000000"/>
              </w:rPr>
              <w:t xml:space="preserve">P</w:t>
            </w:r>
            <w:r>
              <w:rPr>
                <w:rFonts w:ascii="Trebuchet MS" w:hAnsi="Trebuchet MS" w:cs="Arial"/>
                <w:color w:val="000000"/>
              </w:rPr>
              <w:t xml:space="preserve"> kiekiu, ne daugiau: </w:t>
            </w:r>
            <w:r>
              <w:rPr>
                <w:rFonts w:ascii="Trebuchet MS" w:hAnsi="Trebuchet MS" w:cs="Arial"/>
                <w:vertAlign w:val="superscript"/>
              </w:rPr>
              <w:t xml:space="preserve">(5)</w:t>
            </w:r>
            <w:r>
              <w:rPr>
                <w:rFonts w:ascii="Trebuchet MS" w:hAnsi="Trebuchet MS" w:cs="Arial"/>
              </w:rPr>
              <w:t xml:space="preserve"> /   </w:t>
            </w:r>
            <w:r>
              <w:rPr>
                <w:rFonts w:ascii="Trebuchet MS" w:hAnsi="Trebuchet MS" w:cs="Arial"/>
              </w:rPr>
              <w:t xml:space="preserve">Hot-rolled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with</w:t>
            </w:r>
            <w:r>
              <w:rPr>
                <w:rFonts w:ascii="Trebuchet MS" w:hAnsi="Trebuchet MS" w:cs="Arial"/>
                <w:color w:val="000000"/>
              </w:rPr>
              <w:t xml:space="preserve"> a </w:t>
            </w:r>
            <w:r>
              <w:rPr>
                <w:rFonts w:ascii="Trebuchet MS" w:hAnsi="Trebuchet MS" w:cs="Arial"/>
                <w:color w:val="000000"/>
              </w:rPr>
              <w:t xml:space="preserve">low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Si+P</w:t>
            </w:r>
            <w:r>
              <w:rPr>
                <w:rFonts w:ascii="Trebuchet MS" w:hAnsi="Trebuchet MS" w:cs="Arial"/>
                <w:color w:val="000000"/>
              </w:rPr>
              <w:t xml:space="preserve">, </w:t>
            </w:r>
            <w:r>
              <w:rPr>
                <w:rFonts w:ascii="Trebuchet MS" w:hAnsi="Trebuchet MS" w:cs="Arial"/>
                <w:color w:val="000000"/>
              </w:rPr>
              <w:t xml:space="preserve">not</w:t>
            </w:r>
            <w:r>
              <w:rPr>
                <w:rFonts w:ascii="Trebuchet MS" w:hAnsi="Trebuchet MS" w:cs="Arial"/>
                <w:color w:val="000000"/>
              </w:rPr>
              <w:t xml:space="preserve"> </w:t>
            </w:r>
            <w:r>
              <w:rPr>
                <w:rFonts w:ascii="Trebuchet MS" w:hAnsi="Trebuchet MS" w:cs="Arial"/>
                <w:color w:val="000000"/>
              </w:rPr>
              <w:t xml:space="preserve">more</w:t>
            </w:r>
            <w:r>
              <w:rPr>
                <w:rFonts w:ascii="Trebuchet MS" w:hAnsi="Trebuchet MS" w:cs="Arial"/>
                <w:color w:val="000000"/>
              </w:rPr>
              <w:t xml:space="preserve">: </w:t>
            </w:r>
            <w:r>
              <w:rPr>
                <w:rFonts w:ascii="Trebuchet MS" w:hAnsi="Trebuchet MS" w:cs="Arial"/>
                <w:color w:val="000000"/>
                <w:vertAlign w:val="superscript"/>
              </w:rPr>
              <w:t xml:space="preserve">(5)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Si</w:t>
            </w:r>
            <w:r>
              <w:rPr>
                <w:rFonts w:ascii="Trebuchet MS" w:hAnsi="Trebuchet MS" w:cs="Arial"/>
              </w:rPr>
              <w:t xml:space="preserve">&lt;0,02 % ir Si+2,5xP&lt;0,09 %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4.3.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Si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%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6 mm: 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(5)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with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Si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rule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thickness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 mm: 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(5)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0,15 ≤ </w:t>
            </w:r>
            <w:r>
              <w:rPr>
                <w:rFonts w:ascii="Trebuchet MS" w:hAnsi="Trebuchet MS" w:cs="Arial"/>
              </w:rPr>
              <w:t xml:space="preserve">Si</w:t>
            </w:r>
            <w:r>
              <w:rPr>
                <w:rFonts w:ascii="Trebuchet MS" w:hAnsi="Trebuchet MS" w:cs="Arial"/>
              </w:rPr>
              <w:t xml:space="preserve"> ≤ 0,28</w:t>
            </w:r>
          </w:p>
        </w:tc>
      </w:tr>
      <w:tr>
        <w:trPr>
          <w:trHeight w:val="325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4.4.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Si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%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3 mm ir ≤ 6 mm: 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(5)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with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Si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rule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thickness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3 mm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but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≤ 6 mm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: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(5)</w:t>
            </w:r>
          </w:p>
        </w:tc>
        <w:tc>
          <w:tcPr>
            <w:tcW w:type="dxa" w:w="439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0,29 ≤ </w:t>
            </w:r>
            <w:r>
              <w:rPr>
                <w:rFonts w:ascii="Trebuchet MS" w:hAnsi="Trebuchet MS" w:cs="Arial"/>
              </w:rPr>
              <w:t xml:space="preserve">Si</w:t>
            </w:r>
            <w:r>
              <w:rPr>
                <w:rFonts w:ascii="Trebuchet MS" w:hAnsi="Trebuchet MS" w:cs="Arial"/>
              </w:rPr>
              <w:t xml:space="preserve"> ≤ 0,35</w:t>
            </w:r>
          </w:p>
        </w:tc>
      </w:tr>
      <w:tr>
        <w:trPr>
          <w:trHeight w:val="141" w:hRule="atLeast"/>
        </w:trPr>
        <w:tc>
          <w:tcPr>
            <w:tcW w:type="dxa" w:w="704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5.</w:t>
            </w:r>
          </w:p>
        </w:tc>
        <w:tc>
          <w:tcPr>
            <w:tcW w:type="dxa" w:w="9497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Reikalavimai plieno paviršiaus paruošimui prieš cinkavimą: / </w:t>
            </w:r>
            <w:r>
              <w:rPr>
                <w:rFonts w:ascii="Trebuchet MS" w:hAnsi="Trebuchet MS" w:cs="Arial"/>
                <w:b/>
              </w:rPr>
              <w:t xml:space="preserve">Requirements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for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steel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surface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preparation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before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galvanizing</w:t>
            </w:r>
            <w:r>
              <w:rPr>
                <w:rFonts w:ascii="Trebuchet MS" w:hAnsi="Trebuchet MS" w:cs="Arial"/>
                <w:b/>
              </w:rPr>
              <w:t xml:space="preserve">:</w:t>
            </w:r>
          </w:p>
        </w:tc>
      </w:tr>
      <w:tr>
        <w:trPr/>
        <w:tc>
          <w:tcPr>
            <w:tcW w:type="dxa" w:w="70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5.1.</w:t>
            </w:r>
          </w:p>
        </w:tc>
        <w:tc>
          <w:tcPr>
            <w:tcW w:type="dxa" w:w="5103"/>
            <w:tcBorders>
              <w:top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Paviršiaus paruošimo laipsnis valant srautiniu abrazyviniu pūtimu pagal LST EN ISO 8501-1, ne mažesnis kaip: 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Surface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preparation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grade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according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LST EN ISO 8501-1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abrasive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blast-cleaning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stream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shall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less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Sa</w:t>
            </w:r>
            <w:r>
              <w:rPr>
                <w:rFonts w:ascii="Trebuchet MS" w:hAnsi="Trebuchet MS" w:cs="Arial"/>
              </w:rPr>
              <w:t xml:space="preserve"> 2½ </w:t>
            </w:r>
            <w:r>
              <w:rPr>
                <w:rFonts w:ascii="Trebuchet MS" w:hAnsi="Trebuchet MS" w:cs="Arial"/>
                <w:vertAlign w:val="superscript"/>
              </w:rPr>
              <w:t xml:space="preserve">(2)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/>
        <w:tc>
          <w:tcPr>
            <w:tcW w:type="dxa" w:w="70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5.2.</w:t>
            </w:r>
          </w:p>
        </w:tc>
        <w:tc>
          <w:tcPr>
            <w:tcW w:type="dxa" w:w="5103"/>
            <w:tcBorders>
              <w:top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Plieno paviršiaus kokybė pagal 8501-1 turi atitikti: 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surface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quality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according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8501-1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must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meet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A, B arba C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/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5.3.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Suvirinimo siūlių kokybė pagal EN ISO 8501-3 (p. 1.1; 1.2; 1.3; 1.4; 1.5) turi būti ne mažesnė kaip: 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quality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welding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seams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according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EN ISO 8501-3 (p. 1.1; 1.2; 1.3; 1.4; 1.5)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shall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less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P2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/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5.4.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/>
                <w:color w:val="212121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2.1; 2.2) turi būti ne mažesnė kaip: 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Edge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quality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according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EN ISO 8501-3 (p. 2.1; 2.2)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shall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less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P2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/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5.5.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2.3 „Termiškai pjauti paviršiai“) turi būti ne mažesnė kaip: /</w:t>
            </w:r>
            <w:r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Edge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quality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according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EN ISO 8501-3 (p. 2.3 "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Termaly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cut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edges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shall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less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P3 </w:t>
            </w:r>
            <w:r>
              <w:rPr>
                <w:rFonts w:ascii="Trebuchet MS" w:hAnsi="Trebuchet MS" w:cs="Arial"/>
                <w:vertAlign w:val="superscript"/>
              </w:rPr>
              <w:t xml:space="preserve">(4) (c)</w:t>
            </w:r>
          </w:p>
        </w:tc>
      </w:tr>
      <w:tr>
        <w:trPr/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5.6.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3.1 „Įdubos ir krateriai“) turi būti ne mažesni kaip: / General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requirements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for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surface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according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EN ISO 8501-3 (p . 3.1 „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Pits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and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craters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shall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less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P3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/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5.7.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3.2; 3.3; 3.4; 3.5; 3.6) turi būti ne mažesni kaip:/ General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requirements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for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steel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surface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according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EN ISO 8501-3 (p. 3.2; 3.3; 3.4; 3.5; 3.6)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shall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less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</w:tc>
        <w:tc>
          <w:tcPr>
            <w:tcW w:type="dxa" w:w="4394"/>
            <w:tcBorders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vertAlign w:val="superscript"/>
              </w:rPr>
            </w:pPr>
            <w:r>
              <w:rPr>
                <w:rFonts w:ascii="Trebuchet MS" w:hAnsi="Trebuchet MS" w:cs="Arial"/>
              </w:rPr>
              <w:t xml:space="preserve">P2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/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5.8.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Termiškai pjautų paviršių plotai privalo būti nušlifuojami ne mažiau, mm:/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Thermally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cuted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surface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areas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must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cut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at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least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, mm:</w:t>
            </w:r>
          </w:p>
        </w:tc>
        <w:tc>
          <w:tcPr>
            <w:tcW w:type="dxa" w:w="4394"/>
            <w:tcBorders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 ≥ 1</w:t>
            </w:r>
          </w:p>
        </w:tc>
      </w:tr>
      <w:tr>
        <w:trPr/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5.9.</w:t>
            </w:r>
          </w:p>
        </w:tc>
        <w:tc>
          <w:tcPr>
            <w:tcW w:type="dxa" w:w="5103"/>
            <w:tcBorders/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Atlikimo klasės pagal LST EN 1090-2 turi būti ne mažesnė kaip: 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Execution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class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according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LST EN 1090-2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must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less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than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: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type="dxa" w:w="4394"/>
            <w:tcBorders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≥ EX2 </w:t>
            </w:r>
            <w:r>
              <w:rPr>
                <w:rFonts w:ascii="Trebuchet MS" w:hAnsi="Trebuchet MS" w:cs="Arial"/>
                <w:vertAlign w:val="superscript"/>
              </w:rPr>
              <w:t xml:space="preserve">(4)</w:t>
            </w:r>
          </w:p>
        </w:tc>
      </w:tr>
      <w:tr>
        <w:trPr>
          <w:trHeight w:val="716" w:hRule="exact"/>
        </w:trPr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6.</w:t>
            </w:r>
          </w:p>
        </w:tc>
        <w:tc>
          <w:tcPr>
            <w:tcW w:type="dxa" w:w="9497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Reikalavimai cinko dangos paviršiui po cinkavimo /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Requirements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for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zinc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coating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surface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after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galvanizing</w:t>
            </w:r>
          </w:p>
        </w:tc>
      </w:tr>
      <w:tr>
        <w:trPr>
          <w:trHeight w:val="1557" w:hRule="exact"/>
        </w:trPr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6.1.</w:t>
            </w:r>
          </w:p>
        </w:tc>
        <w:tc>
          <w:tcPr>
            <w:tcW w:type="dxa" w:w="5103"/>
            <w:tcBorders>
              <w:bottom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Cinkuoto paviršiaus vientisumo užtikrinimas / </w:t>
            </w:r>
            <w:r>
              <w:rPr/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Ensuring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integrity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galvanized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surface</w:t>
            </w:r>
          </w:p>
        </w:tc>
        <w:tc>
          <w:tcPr>
            <w:tcW w:type="dxa" w:w="439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Pašalinti aštrūs kraštai, briaunos, lašai iš perteklinio sukietėjusio cinko, prilipusios įvairios formos cinko dangos likučiai 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Remove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sharp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edges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drops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drainaige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spikes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sticked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various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forms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zinc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splatters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residues</w:t>
            </w:r>
          </w:p>
        </w:tc>
      </w:tr>
      <w:tr>
        <w:trPr>
          <w:trHeight w:val="1557" w:hRule="exact"/>
        </w:trPr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6.2.</w:t>
            </w:r>
          </w:p>
        </w:tc>
        <w:tc>
          <w:tcPr>
            <w:tcW w:type="dxa" w:w="5103"/>
            <w:tcBorders>
              <w:bottom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Galimų pažeidimų po transportavimo ar montavimo aprašas / </w:t>
            </w:r>
            <w:r>
              <w:rPr/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Description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possible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violations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after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transportation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or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installation</w:t>
            </w:r>
          </w:p>
        </w:tc>
        <w:tc>
          <w:tcPr>
            <w:tcW w:type="dxa" w:w="439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  <w:vertAlign w:val="superscript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Maksimalus cinko sluoksnio pažeidimo plotas (1 vieta) negali viršyti 10cm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2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(3,16x3,16cm ).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(6)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maximum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area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of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damage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the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zinc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layer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(1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place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)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must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not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exceed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10cm2 (3,16x3,16cm).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(6)</w:t>
            </w:r>
          </w:p>
        </w:tc>
      </w:tr>
      <w:tr>
        <w:trPr>
          <w:trHeight w:val="2560" w:hRule="exact"/>
        </w:trPr>
        <w:tc>
          <w:tcPr>
            <w:tcW w:type="dxa" w:w="704"/>
            <w:tcBorders>
              <w:lef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6.3.</w:t>
            </w:r>
          </w:p>
        </w:tc>
        <w:tc>
          <w:tcPr>
            <w:tcW w:type="dxa" w:w="5103"/>
            <w:tcBorders>
              <w:bottom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Priemonės pašalinti galimus leistinus pažeidimus po transportavimo ar montavimo / </w:t>
            </w:r>
            <w:r>
              <w:rPr/>
              <w:t xml:space="preserve"> 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Measures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remove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possible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permissible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coating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defects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after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transportation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or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installation</w:t>
            </w:r>
          </w:p>
        </w:tc>
        <w:tc>
          <w:tcPr>
            <w:tcW w:type="dxa" w:w="439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HTMLPreformatted"/>
              <w:shd w:val="clear" w:color="auto" w:fill="FFFFFF"/>
              <w:spacing/>
              <w:jc w:val="both"/>
              <w:rPr>
                <w:rStyle w:val="A0"/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1.Paviršiaus valymas nerūdijančio plieno šepečiais arba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abraz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y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vais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Proper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cleaning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with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 a 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stainless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steel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brush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or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abrasives</w:t>
            </w:r>
            <w:r>
              <w:rPr>
                <w:rStyle w:val="A0"/>
                <w:rFonts w:ascii="Trebuchet MS" w:hAnsi="Trebuchet MS"/>
                <w:sz w:val="22"/>
                <w:szCs w:val="22"/>
              </w:rPr>
              <w:t xml:space="preserve">.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2.Paviršiaus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nuriebalinimas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>
              <w:rPr/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Surface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degreasing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3.Dažymas prisotintais cinku (min.92%) dažais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(7)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Painting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with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zinc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rich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paint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minimum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 92% </w:t>
            </w:r>
            <w:r>
              <w:rPr>
                <w:rFonts w:ascii="Trebuchet MS" w:hAnsi="Trebuchet MS" w:eastAsiaTheme="minorHAnsi" w:cs="Times New Roman"/>
                <w:color w:val="000000"/>
                <w:sz w:val="22"/>
                <w:szCs w:val="22"/>
                <w:lang w:eastAsia="en-US"/>
              </w:rPr>
              <w:t xml:space="preserve">Zn</w:t>
            </w:r>
            <w:r>
              <w:rPr>
                <w:rFonts w:ascii="Times New Roman" w:hAnsi="Times New Roman" w:eastAsiaTheme="minorHAnsi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(7)</w:t>
            </w:r>
          </w:p>
        </w:tc>
      </w:tr>
      <w:tr>
        <w:trPr>
          <w:trHeight w:val="413" w:hRule="atLeast"/>
        </w:trPr>
        <w:tc>
          <w:tcPr>
            <w:tcW w:type="dxa" w:w="10201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Pastabos: / </w:t>
            </w:r>
            <w:r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Notes</w:t>
            </w:r>
            <w:r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: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a) Techniniai reikalavimai netaikomi gelžbetonių pamatų inkariniams varžtams, kurie yra įbetonuojami ir cinkuojama tik viršutinė varžto dalis/ </w:t>
            </w:r>
            <w:r>
              <w:rPr>
                <w:rFonts w:ascii="Trebuchet MS" w:hAnsi="Trebuchet MS" w:cs="Arial"/>
              </w:rPr>
              <w:t xml:space="preserve">Technical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requirements</w:t>
            </w:r>
            <w:r>
              <w:rPr>
                <w:rFonts w:ascii="Trebuchet MS" w:hAnsi="Trebuchet MS" w:cs="Arial"/>
              </w:rPr>
              <w:t xml:space="preserve"> are </w:t>
            </w:r>
            <w:r>
              <w:rPr>
                <w:rFonts w:ascii="Trebuchet MS" w:hAnsi="Trebuchet MS" w:cs="Arial"/>
              </w:rPr>
              <w:t xml:space="preserve">not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applyed</w:t>
            </w:r>
            <w:r>
              <w:rPr>
                <w:rFonts w:ascii="Trebuchet MS" w:hAnsi="Trebuchet MS" w:cs="Arial"/>
              </w:rPr>
              <w:t xml:space="preserve"> to </w:t>
            </w:r>
            <w:r>
              <w:rPr>
                <w:rFonts w:ascii="Trebuchet MS" w:hAnsi="Trebuchet MS" w:cs="Arial"/>
              </w:rPr>
              <w:t xml:space="preserve">reinforced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concrete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foundation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anchor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bolts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 xml:space="preserve">which</w:t>
            </w:r>
            <w:r>
              <w:rPr>
                <w:rFonts w:ascii="Trebuchet MS" w:hAnsi="Trebuchet MS" w:cs="Arial"/>
              </w:rPr>
              <w:t xml:space="preserve"> are </w:t>
            </w:r>
            <w:r>
              <w:rPr>
                <w:rFonts w:ascii="Trebuchet MS" w:hAnsi="Trebuchet MS" w:cs="Arial"/>
              </w:rPr>
              <w:t xml:space="preserve">concreted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and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galvanized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only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upper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part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anchor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bolt</w:t>
            </w:r>
            <w:r>
              <w:rPr>
                <w:rFonts w:ascii="Trebuchet MS" w:hAnsi="Trebuchet MS" w:cs="Arial"/>
              </w:rPr>
              <w:t xml:space="preserve">.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b) Taikant šį dokumentą būtini nuorodiniai dokumentai paminėti techniniuose reikalavimuose. Jei nuoroda datuota, taikomas tik nurodytas leidimas. Jei nuoroda nedatuota, taikomas vėliausia nurodyto dokumento (įskaitant keitinius) leidimas. /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following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referenced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documents</w:t>
            </w:r>
            <w:r>
              <w:rPr>
                <w:rFonts w:ascii="Trebuchet MS" w:hAnsi="Trebuchet MS" w:cs="Arial"/>
              </w:rPr>
              <w:t xml:space="preserve"> are </w:t>
            </w:r>
            <w:r>
              <w:rPr>
                <w:rFonts w:ascii="Trebuchet MS" w:hAnsi="Trebuchet MS" w:cs="Arial"/>
              </w:rPr>
              <w:t xml:space="preserve">indispensable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for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application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this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document</w:t>
            </w:r>
            <w:r>
              <w:rPr>
                <w:rFonts w:ascii="Trebuchet MS" w:hAnsi="Trebuchet MS" w:cs="Arial"/>
              </w:rPr>
              <w:t xml:space="preserve">. </w:t>
            </w:r>
            <w:r>
              <w:rPr>
                <w:rFonts w:ascii="Trebuchet MS" w:hAnsi="Trebuchet MS" w:cs="Arial"/>
              </w:rPr>
              <w:t xml:space="preserve">For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dated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references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 xml:space="preserve">only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edition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cited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applies</w:t>
            </w:r>
            <w:r>
              <w:rPr>
                <w:rFonts w:ascii="Trebuchet MS" w:hAnsi="Trebuchet MS" w:cs="Arial"/>
              </w:rPr>
              <w:t xml:space="preserve">. </w:t>
            </w:r>
            <w:r>
              <w:rPr>
                <w:rFonts w:ascii="Trebuchet MS" w:hAnsi="Trebuchet MS" w:cs="Arial"/>
              </w:rPr>
              <w:t xml:space="preserve">For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undated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references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latest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edition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referenced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document</w:t>
            </w:r>
            <w:r>
              <w:rPr>
                <w:rFonts w:ascii="Trebuchet MS" w:hAnsi="Trebuchet MS" w:cs="Arial"/>
              </w:rPr>
              <w:t xml:space="preserve"> (</w:t>
            </w:r>
            <w:r>
              <w:rPr>
                <w:rFonts w:ascii="Trebuchet MS" w:hAnsi="Trebuchet MS" w:cs="Arial"/>
              </w:rPr>
              <w:t xml:space="preserve">including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any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amendments</w:t>
            </w:r>
            <w:r>
              <w:rPr>
                <w:rFonts w:ascii="Trebuchet MS" w:hAnsi="Trebuchet MS" w:cs="Arial"/>
              </w:rPr>
              <w:t xml:space="preserve">) </w:t>
            </w:r>
            <w:r>
              <w:rPr>
                <w:rFonts w:ascii="Trebuchet MS" w:hAnsi="Trebuchet MS" w:cs="Arial"/>
              </w:rPr>
              <w:t xml:space="preserve">applies</w:t>
            </w:r>
            <w:r>
              <w:rPr>
                <w:rFonts w:ascii="Trebuchet MS" w:hAnsi="Trebuchet MS" w:cs="Arial"/>
              </w:rPr>
              <w:t xml:space="preserve">.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c) </w:t>
            </w:r>
            <w:r>
              <w:rPr/>
              <w:t xml:space="preserve"> </w:t>
            </w:r>
            <w:r>
              <w:rPr>
                <w:rFonts w:ascii="Trebuchet MS" w:hAnsi="Trebuchet MS" w:cs="Arial"/>
              </w:rPr>
              <w:t xml:space="preserve">Taikoma sąlyga tik dažymui ant karštai cinkuoto paviršiaus /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condition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only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for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hot-dip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galvanized</w:t>
            </w:r>
            <w:r>
              <w:rPr>
                <w:rFonts w:ascii="Trebuchet MS" w:hAnsi="Trebuchet MS" w:cs="Arial"/>
              </w:rPr>
              <w:t xml:space="preserve">  </w:t>
            </w:r>
            <w:r>
              <w:rPr>
                <w:rFonts w:ascii="Trebuchet MS" w:hAnsi="Trebuchet MS" w:cs="Arial"/>
              </w:rPr>
              <w:t xml:space="preserve">surface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painting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case</w:t>
            </w:r>
          </w:p>
          <w:p>
            <w:pPr>
              <w:spacing/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Žymėjimai: / </w:t>
            </w:r>
            <w:r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Indexes</w:t>
            </w:r>
            <w:r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: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/>
                <w:color w:val="212121"/>
              </w:rPr>
            </w:pPr>
            <w:r>
              <w:rPr>
                <w:rFonts w:ascii="Trebuchet MS" w:hAnsi="Trebuchet MS" w:cs="Arial"/>
                <w:b/>
                <w:vertAlign w:val="superscript"/>
              </w:rPr>
              <w:t xml:space="preserve">(1)</w:t>
            </w:r>
            <w:r>
              <w:rPr>
                <w:rFonts w:ascii="Trebuchet MS" w:hAnsi="Trebuchet MS" w:cs="Arial"/>
              </w:rPr>
              <w:t xml:space="preserve"> - Projektuojant reikalavimai gali būti koreguojami, </w:t>
            </w:r>
            <w:r>
              <w:rPr>
                <w:rFonts w:ascii="Trebuchet MS" w:hAnsi="Trebuchet MS" w:cs="Arial"/>
                <w:b/>
              </w:rPr>
              <w:t xml:space="preserve">tačiau tik griežtinant reikalavimus,</w:t>
            </w:r>
            <w:r>
              <w:rPr>
                <w:rFonts w:ascii="Trebuchet MS" w:hAnsi="Trebuchet MS" w:cs="Arial"/>
              </w:rPr>
              <w:t xml:space="preserve"> atsižvelgiant į faktinius aplinkos sąlygų duomenis. </w:t>
            </w:r>
            <w:r>
              <w:rPr>
                <w:rFonts w:ascii="Trebuchet MS" w:hAnsi="Trebuchet MS" w:cs="Arial"/>
                <w:b/>
              </w:rPr>
              <w:t xml:space="preserve">/ </w:t>
            </w:r>
            <w:r>
              <w:rPr>
                <w:rFonts w:ascii="Trebuchet MS" w:hAnsi="Trebuchet MS" w:cs="Arial"/>
              </w:rPr>
              <w:t xml:space="preserve">Requirement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values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can</w:t>
            </w:r>
            <w:r>
              <w:rPr>
                <w:rFonts w:ascii="Trebuchet MS" w:hAnsi="Trebuchet MS" w:cs="Arial"/>
              </w:rPr>
              <w:t xml:space="preserve"> be </w:t>
            </w:r>
            <w:r>
              <w:rPr>
                <w:rFonts w:ascii="Trebuchet MS" w:hAnsi="Trebuchet MS" w:cs="Arial"/>
              </w:rPr>
              <w:t xml:space="preserve">adjusted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in</w:t>
            </w:r>
            <w:r>
              <w:rPr>
                <w:rFonts w:ascii="Trebuchet MS" w:hAnsi="Trebuchet MS" w:cs="Arial"/>
              </w:rPr>
              <w:t xml:space="preserve"> a </w:t>
            </w:r>
            <w:r>
              <w:rPr>
                <w:rFonts w:ascii="Trebuchet MS" w:hAnsi="Trebuchet MS" w:cs="Arial"/>
              </w:rPr>
              <w:t xml:space="preserve">desing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process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  <w:b/>
              </w:rPr>
              <w:t xml:space="preserve">but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only</w:t>
            </w:r>
            <w:r>
              <w:rPr>
                <w:rFonts w:ascii="Trebuchet MS" w:hAnsi="Trebuchet MS" w:cs="Arial"/>
                <w:b/>
              </w:rPr>
              <w:t xml:space="preserve"> to </w:t>
            </w:r>
            <w:r>
              <w:rPr>
                <w:rFonts w:ascii="Trebuchet MS" w:hAnsi="Trebuchet MS" w:cs="Arial"/>
                <w:b/>
              </w:rPr>
              <w:t xml:space="preserve">more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severe</w:t>
            </w:r>
            <w:r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conditions</w:t>
            </w:r>
            <w:r>
              <w:rPr>
                <w:rFonts w:ascii="Trebuchet MS" w:hAnsi="Trebuchet MS"/>
                <w:color w:val="212121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depending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actual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environmental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condition</w:t>
            </w:r>
            <w:r>
              <w:rPr>
                <w:rFonts w:ascii="Trebuchet MS" w:hAnsi="Trebuchet MS" w:cs="Arial"/>
              </w:rPr>
              <w:t xml:space="preserve"> data.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  <w:highlight w:val="red"/>
              </w:rPr>
            </w:pPr>
            <w:r>
              <w:rPr>
                <w:rFonts w:ascii="Trebuchet MS" w:hAnsi="Trebuchet MS" w:cs="Arial"/>
                <w:b/>
                <w:vertAlign w:val="superscript"/>
              </w:rPr>
              <w:t xml:space="preserve">(2)</w:t>
            </w:r>
            <w:r>
              <w:rPr>
                <w:rFonts w:ascii="Trebuchet MS" w:hAnsi="Trebuchet MS" w:cs="Arial"/>
              </w:rPr>
              <w:t xml:space="preserve"> – Valant srautiniu abrazyviniu pūtimu, privalcuoto šlako oksido plėvelė turi būti pašalinta. / </w:t>
            </w:r>
            <w:r>
              <w:rPr>
                <w:rFonts w:ascii="Trebuchet MS" w:hAnsi="Trebuchet MS" w:cs="Arial"/>
              </w:rPr>
              <w:t xml:space="preserve">When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abrasive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blast-cleaning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stream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is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used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 xml:space="preserve">rolled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slag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oxide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film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has</w:t>
            </w:r>
            <w:r>
              <w:rPr>
                <w:rFonts w:ascii="Trebuchet MS" w:hAnsi="Trebuchet MS" w:cs="Arial"/>
              </w:rPr>
              <w:t xml:space="preserve"> to be </w:t>
            </w:r>
            <w:r>
              <w:rPr>
                <w:rFonts w:ascii="Trebuchet MS" w:hAnsi="Trebuchet MS" w:cs="Arial"/>
              </w:rPr>
              <w:t xml:space="preserve">removed</w:t>
            </w:r>
            <w:r>
              <w:rPr>
                <w:rFonts w:ascii="Trebuchet MS" w:hAnsi="Trebuchet MS" w:cs="Arial"/>
              </w:rPr>
              <w:t xml:space="preserve">.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/>
                <w:vertAlign w:val="superscript"/>
              </w:rPr>
              <w:t xml:space="preserve">(3)</w:t>
            </w:r>
            <w:r>
              <w:rPr>
                <w:rFonts w:ascii="Trebuchet MS" w:hAnsi="Trebuchet MS" w:cs="Arial"/>
              </w:rPr>
              <w:t xml:space="preserve"> - Papildoma gamintojo teikiamos produkcijos kontrolė bus atliekama pareikalavus statinio techninei priežiūrai / </w:t>
            </w:r>
            <w:r>
              <w:rPr>
                <w:rFonts w:ascii="Trebuchet MS" w:hAnsi="Trebuchet MS" w:cs="Arial"/>
              </w:rPr>
              <w:t xml:space="preserve">Additional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manufacturer's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production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control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will</w:t>
            </w:r>
            <w:r>
              <w:rPr>
                <w:rFonts w:ascii="Trebuchet MS" w:hAnsi="Trebuchet MS" w:cs="Arial"/>
              </w:rPr>
              <w:t xml:space="preserve"> be </w:t>
            </w:r>
            <w:r>
              <w:rPr>
                <w:rFonts w:ascii="Trebuchet MS" w:hAnsi="Trebuchet MS" w:cs="Arial"/>
              </w:rPr>
              <w:t xml:space="preserve">carried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out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demand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technical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supervisor</w:t>
            </w:r>
            <w:r>
              <w:rPr>
                <w:rFonts w:ascii="Trebuchet MS" w:hAnsi="Trebuchet MS" w:cs="Arial"/>
              </w:rPr>
              <w:t xml:space="preserve">.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/>
                <w:vertAlign w:val="superscript"/>
              </w:rPr>
              <w:t xml:space="preserve">(4)</w:t>
            </w:r>
            <w:r>
              <w:rPr>
                <w:rFonts w:ascii="Trebuchet MS" w:hAnsi="Trebuchet MS" w:cs="Arial"/>
              </w:rPr>
              <w:t xml:space="preserve"> – Deklaruojama reikšmė cinkuotų plieninių konstrukcijų eksploatacinių savybių deklaracijoje. /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declared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value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galvanized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steel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structures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in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declaration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performance</w:t>
            </w:r>
            <w:r>
              <w:rPr>
                <w:rFonts w:ascii="Trebuchet MS" w:hAnsi="Trebuchet MS" w:cs="Arial"/>
              </w:rPr>
              <w:t xml:space="preserve">.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/>
                <w:vertAlign w:val="superscript"/>
              </w:rPr>
              <w:t xml:space="preserve">(5)</w:t>
            </w:r>
            <w:r>
              <w:rPr>
                <w:rFonts w:ascii="Trebuchet MS" w:hAnsi="Trebuchet MS" w:cs="Arial"/>
              </w:rPr>
              <w:t xml:space="preserve"> – Pliene esančių </w:t>
            </w:r>
            <w:r>
              <w:rPr>
                <w:rFonts w:ascii="Trebuchet MS" w:hAnsi="Trebuchet MS" w:cs="Arial"/>
              </w:rPr>
              <w:t xml:space="preserve">Si</w:t>
            </w:r>
            <w:r>
              <w:rPr>
                <w:rFonts w:ascii="Trebuchet MS" w:hAnsi="Trebuchet MS" w:cs="Arial"/>
              </w:rPr>
              <w:t xml:space="preserve"> ir P kiekiai nurodomi žaliavų sertifikatuose, kurie pateikiami kartu su eksploatacinių savybių deklaracija. /</w:t>
            </w:r>
            <w:r>
              <w:rPr>
                <w:rFonts w:ascii="Trebuchet MS" w:hAnsi="Trebuchet MS"/>
                <w:color w:val="212121"/>
              </w:rPr>
              <w:t xml:space="preserve"> </w:t>
            </w:r>
            <w:r>
              <w:rPr>
                <w:rFonts w:ascii="Trebuchet MS" w:hAnsi="Trebuchet MS"/>
                <w:color w:val="212121"/>
              </w:rPr>
              <w:t xml:space="preserve">Steel</w:t>
            </w:r>
            <w:r>
              <w:rPr>
                <w:rFonts w:ascii="Trebuchet MS" w:hAnsi="Trebuchet MS"/>
                <w:color w:val="212121"/>
              </w:rPr>
              <w:t xml:space="preserve"> </w:t>
            </w:r>
            <w:r>
              <w:rPr>
                <w:rFonts w:ascii="Trebuchet MS" w:hAnsi="Trebuchet MS"/>
                <w:color w:val="212121"/>
              </w:rPr>
              <w:t xml:space="preserve">in</w:t>
            </w:r>
            <w:r>
              <w:rPr>
                <w:rFonts w:ascii="Trebuchet MS" w:hAnsi="Trebuchet MS"/>
                <w:color w:val="212121"/>
              </w:rPr>
              <w:t xml:space="preserve"> </w:t>
            </w:r>
            <w:r>
              <w:rPr>
                <w:rFonts w:ascii="Trebuchet MS" w:hAnsi="Trebuchet MS"/>
                <w:color w:val="212121"/>
              </w:rPr>
              <w:t xml:space="preserve">the</w:t>
            </w:r>
            <w:r>
              <w:rPr>
                <w:rFonts w:ascii="Trebuchet MS" w:hAnsi="Trebuchet MS"/>
                <w:color w:val="212121"/>
              </w:rPr>
              <w:t xml:space="preserve"> </w:t>
            </w:r>
            <w:r>
              <w:rPr>
                <w:rFonts w:ascii="Trebuchet MS" w:hAnsi="Trebuchet MS"/>
                <w:color w:val="212121"/>
              </w:rPr>
              <w:t xml:space="preserve">Si</w:t>
            </w:r>
            <w:r>
              <w:rPr>
                <w:rFonts w:ascii="Trebuchet MS" w:hAnsi="Trebuchet MS"/>
                <w:color w:val="212121"/>
              </w:rPr>
              <w:t xml:space="preserve"> </w:t>
            </w:r>
            <w:r>
              <w:rPr>
                <w:rFonts w:ascii="Trebuchet MS" w:hAnsi="Trebuchet MS"/>
                <w:color w:val="212121"/>
              </w:rPr>
              <w:t xml:space="preserve">and</w:t>
            </w:r>
            <w:r>
              <w:rPr>
                <w:rFonts w:ascii="Trebuchet MS" w:hAnsi="Trebuchet MS"/>
                <w:color w:val="212121"/>
              </w:rPr>
              <w:t xml:space="preserve"> P </w:t>
            </w:r>
            <w:r>
              <w:rPr>
                <w:rFonts w:ascii="Trebuchet MS" w:hAnsi="Trebuchet MS"/>
                <w:color w:val="212121"/>
              </w:rPr>
              <w:t xml:space="preserve">quantities</w:t>
            </w:r>
            <w:r>
              <w:rPr>
                <w:rFonts w:ascii="Trebuchet MS" w:hAnsi="Trebuchet MS"/>
                <w:color w:val="212121"/>
              </w:rPr>
              <w:t xml:space="preserve"> </w:t>
            </w:r>
            <w:r>
              <w:rPr>
                <w:rFonts w:ascii="Trebuchet MS" w:hAnsi="Trebuchet MS"/>
                <w:color w:val="212121"/>
              </w:rPr>
              <w:t xml:space="preserve">of</w:t>
            </w:r>
            <w:r>
              <w:rPr>
                <w:rFonts w:ascii="Trebuchet MS" w:hAnsi="Trebuchet MS"/>
                <w:color w:val="212121"/>
              </w:rPr>
              <w:t xml:space="preserve"> </w:t>
            </w:r>
            <w:r>
              <w:rPr>
                <w:rFonts w:ascii="Trebuchet MS" w:hAnsi="Trebuchet MS"/>
                <w:color w:val="212121"/>
              </w:rPr>
              <w:t xml:space="preserve">raw</w:t>
            </w:r>
            <w:r>
              <w:rPr>
                <w:rFonts w:ascii="Trebuchet MS" w:hAnsi="Trebuchet MS"/>
                <w:color w:val="212121"/>
              </w:rPr>
              <w:t xml:space="preserve"> </w:t>
            </w:r>
            <w:r>
              <w:rPr>
                <w:rFonts w:ascii="Trebuchet MS" w:hAnsi="Trebuchet MS"/>
                <w:color w:val="212121"/>
              </w:rPr>
              <w:t xml:space="preserve">material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certificates</w:t>
            </w:r>
            <w:r>
              <w:rPr>
                <w:rFonts w:ascii="Trebuchet MS" w:hAnsi="Trebuchet MS" w:cs="Arial"/>
              </w:rPr>
              <w:t xml:space="preserve"> are </w:t>
            </w:r>
            <w:r>
              <w:rPr>
                <w:rFonts w:ascii="Trebuchet MS" w:hAnsi="Trebuchet MS" w:cs="Arial"/>
              </w:rPr>
              <w:t xml:space="preserve">presented</w:t>
            </w:r>
            <w:r>
              <w:rPr>
                <w:rFonts w:ascii="Trebuchet MS" w:hAnsi="Trebuchet MS" w:cs="Arial"/>
              </w:rPr>
              <w:t xml:space="preserve">, </w:t>
            </w:r>
            <w:r>
              <w:rPr>
                <w:rFonts w:ascii="Trebuchet MS" w:hAnsi="Trebuchet MS" w:cs="Arial"/>
              </w:rPr>
              <w:t xml:space="preserve">together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with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declaration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of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performance</w:t>
            </w:r>
            <w:r>
              <w:rPr>
                <w:rFonts w:ascii="Trebuchet MS" w:hAnsi="Trebuchet MS" w:cs="Arial"/>
              </w:rPr>
              <w:t xml:space="preserve">.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Style w:val="A0"/>
                <w:rFonts w:ascii="Trebuchet MS" w:hAnsi="Trebuchet MS"/>
              </w:rPr>
            </w:pPr>
            <w:r>
              <w:rPr>
                <w:rFonts w:ascii="Trebuchet MS" w:hAnsi="Trebuchet MS" w:cs="Arial"/>
                <w:b/>
                <w:vertAlign w:val="superscript"/>
              </w:rPr>
              <w:t xml:space="preserve">(6)</w:t>
            </w:r>
            <w:r>
              <w:rPr>
                <w:rFonts w:ascii="Trebuchet MS" w:hAnsi="Trebuchet MS" w:cs="Arial"/>
              </w:rPr>
              <w:t xml:space="preserve"> – Bendras cinko dangos pažeidimų plotas neturi viršyti </w:t>
            </w:r>
            <w:r>
              <w:rPr>
                <w:rStyle w:val="A0"/>
                <w:rFonts w:ascii="Trebuchet MS" w:hAnsi="Trebuchet MS"/>
              </w:rPr>
              <w:t xml:space="preserve">0.5 % viso konstrukcijos ploto arba 10cm</w:t>
            </w:r>
            <w:r>
              <w:rPr>
                <w:rStyle w:val="A0"/>
                <w:rFonts w:ascii="Trebuchet MS" w:hAnsi="Trebuchet MS"/>
                <w:vertAlign w:val="superscript"/>
              </w:rPr>
              <w:t xml:space="preserve">2</w:t>
            </w:r>
            <w:r>
              <w:rPr>
                <w:rStyle w:val="A0"/>
                <w:rFonts w:ascii="Trebuchet MS" w:hAnsi="Trebuchet MS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/ </w:t>
            </w:r>
            <w:r>
              <w:rPr>
                <w:rStyle w:val="A0"/>
                <w:rFonts w:ascii="Trebuchet MS" w:hAnsi="Trebuchet MS"/>
              </w:rPr>
              <w:t xml:space="preserve">The</w:t>
            </w:r>
            <w:r>
              <w:rPr>
                <w:rStyle w:val="A0"/>
                <w:rFonts w:ascii="Trebuchet MS" w:hAnsi="Trebuchet MS"/>
              </w:rPr>
              <w:t xml:space="preserve"> </w:t>
            </w:r>
            <w:r>
              <w:rPr>
                <w:rStyle w:val="A0"/>
                <w:rFonts w:ascii="Trebuchet MS" w:hAnsi="Trebuchet MS"/>
              </w:rPr>
              <w:t xml:space="preserve">damage</w:t>
            </w:r>
            <w:r>
              <w:rPr>
                <w:rStyle w:val="A0"/>
                <w:rFonts w:ascii="Trebuchet MS" w:hAnsi="Trebuchet MS"/>
              </w:rPr>
              <w:t xml:space="preserve"> </w:t>
            </w:r>
            <w:r>
              <w:rPr>
                <w:rStyle w:val="A0"/>
                <w:rFonts w:ascii="Trebuchet MS" w:hAnsi="Trebuchet MS"/>
              </w:rPr>
              <w:t xml:space="preserve">must</w:t>
            </w:r>
            <w:r>
              <w:rPr>
                <w:rStyle w:val="A0"/>
                <w:rFonts w:ascii="Trebuchet MS" w:hAnsi="Trebuchet MS"/>
              </w:rPr>
              <w:t xml:space="preserve"> </w:t>
            </w:r>
            <w:r>
              <w:rPr>
                <w:rStyle w:val="A0"/>
                <w:rFonts w:ascii="Trebuchet MS" w:hAnsi="Trebuchet MS"/>
              </w:rPr>
              <w:t xml:space="preserve">not</w:t>
            </w:r>
            <w:r>
              <w:rPr>
                <w:rStyle w:val="A0"/>
                <w:rFonts w:ascii="Trebuchet MS" w:hAnsi="Trebuchet MS"/>
              </w:rPr>
              <w:t xml:space="preserve"> </w:t>
            </w:r>
            <w:r>
              <w:rPr>
                <w:rStyle w:val="A0"/>
                <w:rFonts w:ascii="Trebuchet MS" w:hAnsi="Trebuchet MS"/>
              </w:rPr>
              <w:t xml:space="preserve">exeed</w:t>
            </w:r>
            <w:r>
              <w:rPr>
                <w:rStyle w:val="A0"/>
                <w:rFonts w:ascii="Trebuchet MS" w:hAnsi="Trebuchet MS"/>
              </w:rPr>
              <w:t xml:space="preserve"> 0.5 % </w:t>
            </w:r>
            <w:r>
              <w:rPr>
                <w:rStyle w:val="A0"/>
                <w:rFonts w:ascii="Trebuchet MS" w:hAnsi="Trebuchet MS"/>
              </w:rPr>
              <w:t xml:space="preserve">of</w:t>
            </w:r>
            <w:r>
              <w:rPr>
                <w:rStyle w:val="A0"/>
                <w:rFonts w:ascii="Trebuchet MS" w:hAnsi="Trebuchet MS"/>
              </w:rPr>
              <w:t xml:space="preserve"> </w:t>
            </w:r>
            <w:r>
              <w:rPr>
                <w:rStyle w:val="A0"/>
                <w:rFonts w:ascii="Trebuchet MS" w:hAnsi="Trebuchet MS"/>
              </w:rPr>
              <w:t xml:space="preserve">the</w:t>
            </w:r>
            <w:r>
              <w:rPr>
                <w:rStyle w:val="A0"/>
                <w:rFonts w:ascii="Trebuchet MS" w:hAnsi="Trebuchet MS"/>
              </w:rPr>
              <w:t xml:space="preserve"> </w:t>
            </w:r>
            <w:r>
              <w:rPr>
                <w:rStyle w:val="A0"/>
                <w:rFonts w:ascii="Trebuchet MS" w:hAnsi="Trebuchet MS"/>
              </w:rPr>
              <w:t xml:space="preserve">total</w:t>
            </w:r>
            <w:r>
              <w:rPr>
                <w:rStyle w:val="A0"/>
                <w:rFonts w:ascii="Trebuchet MS" w:hAnsi="Trebuchet MS"/>
              </w:rPr>
              <w:t xml:space="preserve"> </w:t>
            </w:r>
            <w:r>
              <w:rPr>
                <w:rStyle w:val="A0"/>
                <w:rFonts w:ascii="Trebuchet MS" w:hAnsi="Trebuchet MS"/>
              </w:rPr>
              <w:t xml:space="preserve">construction</w:t>
            </w:r>
            <w:r>
              <w:rPr>
                <w:rStyle w:val="A0"/>
                <w:rFonts w:ascii="Trebuchet MS" w:hAnsi="Trebuchet MS"/>
              </w:rPr>
              <w:t xml:space="preserve"> </w:t>
            </w:r>
            <w:r>
              <w:rPr>
                <w:rStyle w:val="A0"/>
                <w:rFonts w:ascii="Trebuchet MS" w:hAnsi="Trebuchet MS"/>
              </w:rPr>
              <w:t xml:space="preserve">area</w:t>
            </w:r>
            <w:r>
              <w:rPr>
                <w:rStyle w:val="A0"/>
                <w:rFonts w:ascii="Trebuchet MS" w:hAnsi="Trebuchet MS"/>
              </w:rPr>
              <w:t xml:space="preserve">, </w:t>
            </w:r>
            <w:r>
              <w:rPr>
                <w:rStyle w:val="A0"/>
                <w:rFonts w:ascii="Trebuchet MS" w:hAnsi="Trebuchet MS"/>
              </w:rPr>
              <w:t xml:space="preserve">or</w:t>
            </w:r>
            <w:r>
              <w:rPr>
                <w:rStyle w:val="A0"/>
                <w:rFonts w:ascii="Trebuchet MS" w:hAnsi="Trebuchet MS"/>
              </w:rPr>
              <w:t xml:space="preserve"> 10 cm</w:t>
            </w:r>
            <w:r>
              <w:rPr>
                <w:rStyle w:val="A0"/>
                <w:rFonts w:ascii="Trebuchet MS" w:hAnsi="Trebuchet MS"/>
                <w:vertAlign w:val="superscript"/>
              </w:rPr>
              <w:t xml:space="preserve">2</w:t>
            </w:r>
            <w:r>
              <w:rPr>
                <w:rStyle w:val="A0"/>
                <w:rFonts w:ascii="Trebuchet MS" w:hAnsi="Trebuchet MS"/>
              </w:rPr>
              <w:t xml:space="preserve">.</w:t>
            </w:r>
          </w:p>
          <w:p>
            <w:pPr>
              <w:pStyle w:val="HTMLPreformatted"/>
              <w:shd w:val="clear" w:color="auto" w:fill="FFFFFF"/>
              <w: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/>
                <w:vertAlign w:val="superscript"/>
              </w:rPr>
              <w:t xml:space="preserve">(7)</w:t>
            </w:r>
            <w:r>
              <w:rPr>
                <w:rFonts w:ascii="Trebuchet MS" w:hAnsi="Trebuchet MS" w:cs="Arial"/>
              </w:rPr>
              <w:t xml:space="preserve"> – Atnaujinto ploto sluoksnio storis turi būti ne mažesnis kaip 100 </w:t>
            </w:r>
            <w:r>
              <w:rPr>
                <w:rFonts w:ascii="Trebuchet MS" w:hAnsi="Trebuchet MS" w:cs="Arial"/>
              </w:rPr>
              <w:t xml:space="preserve">μm</w:t>
            </w:r>
            <w:r>
              <w:rPr>
                <w:rFonts w:ascii="Trebuchet MS" w:hAnsi="Trebuchet MS" w:cs="Arial"/>
              </w:rPr>
              <w:t xml:space="preserve"> ir 30 </w:t>
            </w:r>
            <w:r>
              <w:rPr>
                <w:rFonts w:ascii="Trebuchet MS" w:hAnsi="Trebuchet MS" w:cs="Arial"/>
              </w:rPr>
              <w:t xml:space="preserve">μm</w:t>
            </w:r>
            <w:r>
              <w:rPr>
                <w:rFonts w:ascii="Trebuchet MS" w:hAnsi="Trebuchet MS" w:cs="Arial"/>
              </w:rPr>
              <w:t xml:space="preserve"> didesnis už minimalų leistiną storį / </w:t>
            </w:r>
            <w:r>
              <w:rPr/>
              <w:t xml:space="preserve"> </w:t>
            </w:r>
            <w:r>
              <w:rPr>
                <w:rFonts w:ascii="Trebuchet MS" w:hAnsi="Trebuchet MS" w:cs="Arial"/>
              </w:rPr>
              <w:t xml:space="preserve">Renewed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space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layer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thickness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should</w:t>
            </w:r>
            <w:r>
              <w:rPr>
                <w:rFonts w:ascii="Trebuchet MS" w:hAnsi="Trebuchet MS" w:cs="Arial"/>
              </w:rPr>
              <w:t xml:space="preserve"> be </w:t>
            </w:r>
            <w:r>
              <w:rPr>
                <w:rFonts w:ascii="Trebuchet MS" w:hAnsi="Trebuchet MS" w:cs="Arial"/>
              </w:rPr>
              <w:t xml:space="preserve">not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less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than</w:t>
            </w:r>
            <w:r>
              <w:rPr>
                <w:rFonts w:ascii="Trebuchet MS" w:hAnsi="Trebuchet MS" w:cs="Arial"/>
              </w:rPr>
              <w:t xml:space="preserve"> 100 </w:t>
            </w:r>
            <w:r>
              <w:rPr>
                <w:rFonts w:ascii="Trebuchet MS" w:hAnsi="Trebuchet MS" w:cs="Arial"/>
              </w:rPr>
              <w:t xml:space="preserve">μm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and</w:t>
            </w:r>
            <w:r>
              <w:rPr>
                <w:rFonts w:ascii="Trebuchet MS" w:hAnsi="Trebuchet MS" w:cs="Arial"/>
              </w:rPr>
              <w:t xml:space="preserve"> 30 </w:t>
            </w:r>
            <w:r>
              <w:rPr>
                <w:rFonts w:ascii="Trebuchet MS" w:hAnsi="Trebuchet MS" w:cs="Arial"/>
              </w:rPr>
              <w:t xml:space="preserve">μm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higher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than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the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minimum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thickness</w:t>
            </w:r>
            <w:r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permitted</w:t>
            </w:r>
          </w:p>
        </w:tc>
      </w:tr>
    </w:tbl>
    <w:p w14:paraId="2E84397E">
      <w:pPr>
        <w:spacing/>
        <w:rPr>
          <w:rFonts w:ascii="Trebuchet MS" w:hAnsi="Trebuchet MS"/>
          <w:b/>
        </w:rPr>
      </w:pPr>
    </w:p>
    <w:sectPr>
      <w:footerReference w:type="default" r:id="rId1"/>
      <w:type w:val="nextPage"/>
      <w:pgSz w:w="11906" w:h="16838"/>
      <w:pgMar w:top="1134" w:right="567" w:bottom="1134" w:left="1701" w:header="851" w:footer="828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Calibri">
    <w:charset w:val="186"/>
    <w:family w:val="swiss"/>
    <w:pitch w:val="variable"/>
    <w:sig w:usb0="E4002EFF" w:usb1="C000247B" w:usb2="00000009" w:usb3="00000000" w:csb0="000001FF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ambria">
    <w:charset w:val="186"/>
    <w:family w:val="roman"/>
    <w:pitch w:val="variable"/>
    <w:sig w:usb0="E00006FF" w:usb1="420024FF" w:usb2="02000000" w:usb3="00000000" w:csb0="0000019F" w:csb1="00000000"/>
  </w:font>
  <w:font w:name="Tahoma">
    <w:charset w:val="186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"/>
    <w:family w:val="auto"/>
    <w:pitch w:val="variable"/>
    <w:sig w:usb0="00000007" w:usb1="00000000" w:usb2="00000000" w:usb3="00000000" w:csb0="00000081" w:csb1="00000000"/>
  </w:font>
  <w:font w:name="Trebuchet MS">
    <w:charset w:val="186"/>
    <w:family w:val="swiss"/>
    <w:pitch w:val="variable"/>
    <w:sig w:usb0="00000687" w:usb1="00000000" w:usb2="00000000" w:usb3="00000000" w:csb0="0000009F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/>
      <w:id w:val="1292088904"/>
      <w:docPartObj>
        <w:docPartGallery w:val="Page Numbers (Bottom of Page)"/>
        <w:docPartUnique/>
      </w:docPartObj>
    </w:sdtPr>
    <w:sdtEndPr>
      <w:rPr/>
    </w:sdtEndPr>
    <w:sdtContent>
      <w:sdt>
        <w:sdtPr>
          <w:rPr/>
          <w:id w:val="1441953013"/>
          <w:docPartObj>
            <w:docPartGallery w:val="Page Numbers (Top of Page)"/>
            <w:docPartUnique/>
          </w:docPartObj>
        </w:sdtPr>
        <w:sdtEndPr>
          <w:rPr/>
        </w:sdtEndPr>
        <w:sdtContent>
          <w:p w14:paraId="36457FC9">
            <w:pPr>
              <w:pStyle w:val="Footer"/>
              <w:spacing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110 ÷ 400 KV </w:t>
            </w:r>
            <w:r>
              <w:rPr>
                <w:rFonts w:ascii="Arial" w:hAnsi="Arial" w:cs="Arial"/>
                <w:sz w:val="18"/>
                <w:szCs w:val="18"/>
              </w:rPr>
              <w:t xml:space="preserve">įtampos </w:t>
            </w:r>
            <w:r>
              <w:rPr>
                <w:rFonts w:ascii="Arial" w:hAnsi="Arial" w:cs="Arial"/>
                <w:sz w:val="18"/>
                <w:szCs w:val="18"/>
              </w:rPr>
              <w:t xml:space="preserve">pastočių, sk</w:t>
            </w:r>
            <w:r>
              <w:rPr>
                <w:rFonts w:ascii="Arial" w:hAnsi="Arial" w:cs="Arial"/>
                <w:sz w:val="18"/>
                <w:szCs w:val="18"/>
              </w:rPr>
              <w:t xml:space="preserve">irstyklų įrenginių ir oro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/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Standard </w:t>
            </w:r>
            <w:r>
              <w:rPr>
                <w:rFonts w:ascii="Arial" w:hAnsi="Arial" w:cs="Arial"/>
                <w:sz w:val="18"/>
                <w:szCs w:val="18"/>
              </w:rPr>
              <w:t xml:space="preserve">technical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requirements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for</w:t>
            </w:r>
            <w:r>
              <w:rPr>
                <w:rFonts w:ascii="Arial" w:hAnsi="Arial" w:cs="Arial"/>
                <w:sz w:val="18"/>
                <w:szCs w:val="18"/>
              </w:rPr>
              <w:t xml:space="preserve"> 110 ÷ 400kV </w:t>
            </w:r>
            <w:r>
              <w:rPr>
                <w:rFonts w:ascii="Arial" w:hAnsi="Arial" w:cs="Arial"/>
                <w:sz w:val="18"/>
                <w:szCs w:val="18"/>
              </w:rPr>
              <w:t xml:space="preserve">substation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</w:p>
          <w:p w14:paraId="234410D9">
            <w:pPr>
              <w:pStyle w:val="Footer"/>
              <w:spacing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linijų </w:t>
            </w:r>
            <w:r>
              <w:rPr>
                <w:rFonts w:ascii="Arial" w:hAnsi="Arial" w:cs="Arial"/>
                <w:sz w:val="18"/>
                <w:szCs w:val="18"/>
              </w:rPr>
              <w:t xml:space="preserve">p</w:t>
            </w:r>
            <w:r>
              <w:rPr>
                <w:rFonts w:ascii="Arial" w:hAnsi="Arial" w:cs="Arial"/>
                <w:sz w:val="18"/>
                <w:szCs w:val="18"/>
              </w:rPr>
              <w:t xml:space="preserve">lieninių konstrukcijų dengim</w:t>
            </w:r>
            <w:r>
              <w:rPr>
                <w:rFonts w:ascii="Arial" w:hAnsi="Arial" w:cs="Arial"/>
                <w:sz w:val="18"/>
                <w:szCs w:val="18"/>
              </w:rPr>
              <w:t xml:space="preserve">o</w:t>
            </w:r>
            <w:r>
              <w:rPr>
                <w:rFonts w:ascii="Arial" w:hAnsi="Arial" w:cs="Arial"/>
                <w:sz w:val="18"/>
                <w:szCs w:val="18"/>
              </w:rPr>
              <w:t xml:space="preserve"> cinku karštuoju būdu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switch</w:t>
            </w:r>
            <w:r>
              <w:rPr>
                <w:rFonts w:ascii="Arial" w:hAnsi="Arial" w:cs="Arial"/>
                <w:sz w:val="18"/>
                <w:szCs w:val="18"/>
              </w:rPr>
              <w:t xml:space="preserve">yard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equipment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owerhead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lines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hot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dip</w:t>
            </w:r>
          </w:p>
          <w:p w14:paraId="05470B9C">
            <w:pPr>
              <w:pStyle w:val="Footer"/>
              <w:spacing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standartiniai techniniai reikalavimai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galvanized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coatings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fabricated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iron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steel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articles</w:t>
            </w:r>
          </w:p>
          <w:p w14:paraId="11950AAF">
            <w:pPr>
              <w:pStyle w:val="Footer"/>
              <w:spacing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>
            <w:pPr>
              <w:pStyle w:val="Footer"/>
              <w:spacing/>
              <w:jc w:val="center"/>
              <w:rPr/>
            </w:pPr>
            <w:r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iš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7329B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">
    <w:nsid w:val="2BA464FD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">
    <w:nsid w:val="45F21581"/>
    <w:lvl w:ilvl="0">
      <w:start w:val="6"/>
      <w:numFmt w:val="bullet"/>
      <w:suff w:val="tab"/>
      <w:lvlText w:val="-"/>
      <w:pPr>
        <w:spacing/>
        <w:ind w:left="720" w:hanging="360"/>
      </w:pPr>
      <w:rPr>
        <w:rFonts w:ascii="Calibri" w:hAnsi="Calibri" w:eastAsiaTheme="minorHAnsi" w:cs="Calibri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62371207"/>
    <w:lvl w:ilvl="0">
      <w:start w:val="6"/>
      <w:numFmt w:val="bullet"/>
      <w:suff w:val="tab"/>
      <w:lvlText w:val="-"/>
      <w:pPr>
        <w:spacing/>
        <w:ind w:left="720" w:hanging="360"/>
      </w:pPr>
      <w:rPr>
        <w:rFonts w:ascii="Calibri" w:hAnsi="Calibri" w:eastAsiaTheme="minorHAnsi" w:cs="Calibri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">
    <w:nsid w:val="6C072245"/>
    <w:lvl w:ilvl="0">
      <w:start w:val="6"/>
      <w:numFmt w:val="bullet"/>
      <w:suff w:val="tab"/>
      <w:lvlText w:val="-"/>
      <w:pPr>
        <w:spacing/>
        <w:ind w:left="720" w:hanging="360"/>
      </w:pPr>
      <w:rPr>
        <w:rFonts w:ascii="Calibri" w:hAnsi="Calibri" w:eastAsiaTheme="minorHAnsi" w:cs="Calibri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/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60" w:after="60" w:line="360" w:lineRule="auto"/>
      <w:jc w:val="center"/>
      <w:outlineLvl w:val="7"/>
    </w:pPr>
    <w:rPr>
      <w:rFonts w:ascii="Times New Roman" w:hAnsi="Times New Roman" w:eastAsia="Times New Roman" w:cs="Times New Roman"/>
      <w:b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/>
      <w:ind w:left="720"/>
      <w:contextualSpacing/>
    </w:pPr>
    <w:rPr/>
  </w:style>
  <w:style w:type="character" w:styleId="ListParagraphChar" w:customStyle="1">
    <w:name w:val="List Paragraph Char"/>
    <w:basedOn w:val="DefaultParagraphFont"/>
    <w:link w:val="ListParagraph"/>
    <w:uiPriority w:val="34"/>
    <w:rPr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  <w:rPr/>
  </w:style>
  <w:style w:type="character" w:styleId="HeaderChar" w:customStyle="1">
    <w:name w:val="Header Char"/>
    <w:basedOn w:val="DefaultParagraphFont"/>
    <w:link w:val="Header"/>
    <w:uiPriority w:val="99"/>
    <w:rPr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  <w:rPr/>
  </w:style>
  <w:style w:type="character" w:styleId="FooterChar" w:customStyle="1">
    <w:name w:val="Footer Char"/>
    <w:basedOn w:val="DefaultParagraphFont"/>
    <w:link w:val="Footer"/>
    <w:uiPriority w:val="99"/>
    <w:rPr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eading8Char" w:customStyle="1">
    <w:name w:val="Heading 8 Char"/>
    <w:basedOn w:val="DefaultParagraphFont"/>
    <w:link w:val="Heading8"/>
    <w:rPr>
      <w:rFonts w:ascii="Times New Roman" w:hAnsi="Times New Roman" w:eastAsia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pPr>
      <w:spacing w:after="0" w:line="240" w:lineRule="auto"/>
      <w:ind w:firstLine="709"/>
      <w:jc w:val="center"/>
    </w:pPr>
    <w:rPr>
      <w:rFonts w:ascii="TimesLT" w:hAnsi="TimesLT" w:eastAsia="Times New Roman" w:cs="Times New Roman"/>
      <w:b/>
      <w:sz w:val="18"/>
      <w:szCs w:val="20"/>
      <w:lang w:eastAsia="lt-LT"/>
    </w:rPr>
  </w:style>
  <w:style w:type="character" w:styleId="BodyTextIndentChar" w:customStyle="1">
    <w:name w:val="Body Text Indent Char"/>
    <w:basedOn w:val="DefaultParagraphFont"/>
    <w:link w:val="BodyTextIndent"/>
    <w:semiHidden/>
    <w:rPr>
      <w:rFonts w:ascii="TimesLT" w:hAnsi="TimesLT" w:eastAsia="Times New Roman" w:cs="Times New Roman"/>
      <w:b/>
      <w:sz w:val="18"/>
      <w:szCs w:val="20"/>
      <w:lang w:eastAsia="lt-LT"/>
    </w:rPr>
  </w:style>
  <w:style w:type="paragraph" w:styleId="Patvirtinta" w:customStyle="1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false"/>
      <w:autoSpaceDN w:val="false"/>
      <w:adjustRightInd w:val="false"/>
      <w:spacing w:after="0" w:line="240" w:lineRule="auto"/>
      <w:ind w:left="5953"/>
    </w:pPr>
    <w:rPr>
      <w:rFonts w:ascii="TimesLT" w:hAnsi="TimesLT" w:eastAsia="Times New Roman" w:cs="Times New Roman"/>
      <w:sz w:val="20"/>
      <w:szCs w:val="20"/>
      <w:lang w:val="en-US" w:eastAsia="lt-LT"/>
    </w:rPr>
  </w:style>
  <w:style w:type="paragraph" w:styleId="MAZAS" w:customStyle="1">
    <w:name w:val="MAZAS"/>
    <w:pPr>
      <w:autoSpaceDE w:val="false"/>
      <w:autoSpaceDN w:val="false"/>
      <w:adjustRightInd w:val="false"/>
      <w:spacing w:after="0" w:line="240" w:lineRule="auto"/>
      <w:ind w:firstLine="312"/>
      <w:jc w:val="both"/>
    </w:pPr>
    <w:rPr>
      <w:rFonts w:ascii="TimesLT" w:hAnsi="TimesLT" w:eastAsia="Times New Roman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lt-LT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Pr>
      <w:rFonts w:ascii="Courier New" w:hAnsi="Courier New" w:eastAsia="Times New Roman" w:cs="Courier New"/>
      <w:sz w:val="20"/>
      <w:szCs w:val="20"/>
      <w:lang w:eastAsia="lt-LT"/>
    </w:rPr>
  </w:style>
  <w:style w:type="character" w:styleId="A0" w:customStyle="1">
    <w:name w:val="A0"/>
    <w:basedOn w:val="DefaultParagraphFont"/>
    <w:uiPriority w:val="99"/>
    <w:rPr>
      <w:color w:val="000000"/>
      <w:sz w:val="20"/>
      <w:szCs w:val="20"/>
    </w:rPr>
  </w:style>
  <w:style w:type="character" w:styleId="A1" w:customStyle="1">
    <w:name w:val="A1"/>
    <w:basedOn w:val="DefaultParagraphFont"/>
    <w:uiPriority w:val="99"/>
    <w:rPr>
      <w:color w:val="000000"/>
      <w:sz w:val="11"/>
      <w:szCs w:val="11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365F91"/>
      <w:sz w:val="26"/>
      <w:szCs w:val="26"/>
    </w:rPr>
  </w:style>
</w:styles>
</file>

<file path=word/_rels/document.xml.rels>&#65279;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1" Type="http://schemas.openxmlformats.org/officeDocument/2006/relationships/footer" Target="footer1.xml" /><Relationship Id="rId6" Type="http://schemas.openxmlformats.org/officeDocument/2006/relationships/fontTable" Target="fontTable.xml" /><Relationship Id="rId7" Type="http://schemas.openxmlformats.org/officeDocument/2006/relationships/customXml" Target="../customXml/item1.xml" /><Relationship Id="rId8" Type="http://schemas.openxmlformats.org/officeDocument/2006/relationships/customXml" Target="../customXml/item2.xml" /><Relationship Id="rId9" Type="http://schemas.openxmlformats.org/officeDocument/2006/relationships/customXml" Target="../customXml/item3.xml" /><Relationship Id="rId10" Type="http://schemas.openxmlformats.org/officeDocument/2006/relationships/customXml" Target="../customXml/item4.xml" /><Relationship Id="rId11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>
        </DisplayName>
        <AccountId xsi:nil="true">
        </AccountId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atsparumą/_layouts/15/DocIdRedir.aspx?ID=PVIS-975562914-124</Url>
      <Description>PVIS-975562914-124</Description>
    </_dlc_DocIdUrl>
    <Nuoseklūs xmlns="58896280-883f-49e1-8f2c-86b01e3ff616">
      <UserInfo>
        <DisplayName>
        </DisplayName>
        <AccountId xsi:nil="true">
        </AccountId>
        <AccountType/>
      </UserInfo>
    </Nuoseklūs>
    <_dlc_DocId xmlns="58896280-883f-49e1-8f2c-86b01e3ff616">PVIS-975562914-124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A33799-3925-4D58-AAC7-E0858C5D8C5A}"/>
</file>

<file path=customXml/itemProps3.xml><?xml version="1.0" encoding="utf-8"?>
<ds:datastoreItem xmlns:ds="http://schemas.openxmlformats.org/officeDocument/2006/customXml" ds:itemID="{B3D1EC89-CAE7-47ED-BF5F-B84407D65436}"/>
</file>

<file path=customXml/itemProps4.xml><?xml version="1.0" encoding="utf-8"?>
<ds:datastoreItem xmlns:ds="http://schemas.openxmlformats.org/officeDocument/2006/customXml" ds:itemID="{D4AA99D7-BAF2-4F3C-8D20-8830381D4CAA}"/>
</file>

<file path=customXml/itemProps5.xml><?xml version="1.0" encoding="utf-8"?>
<ds:datastoreItem xmlns:ds="http://schemas.openxmlformats.org/officeDocument/2006/customXml" ds:itemID="{46C896D1-EBE0-473E-85F1-1A9630ABB4A8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</TotalTime>
  <Pages>4</Pages>
  <Words>7174</Words>
  <Characters>4090</Characters>
  <Application>Microsoft Office Word</Application>
  <DocSecurity>0</DocSecurity>
  <Lines>34</Lines>
  <Paragraphs>22</Paragraphs>
  <Company>TIC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Živilė Razulevičiūtė</cp:lastModifiedBy>
  <cp:lastPrinted>2016-04-11T11:24:00Z</cp:lastPrinted>
  <cp:revision>2</cp:revision>
  <dcterms:created xsi:type="dcterms:W3CDTF">2020-06-28T19:08:00Z</dcterms:created>
  <dcterms:modified xsi:type="dcterms:W3CDTF">2020-06-28T19:08:00Z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0x01010066872F3CC8F7D84995438B893169A0800200663E56B3B61A8E43B5EBCAF60F439B2A</vt:lpstr>
  </property>
  <property fmtid="{D5CDD505-2E9C-101B-9397-08002B2CF9AE}" name="_dlc_DocIdItemGuid" pid="3">
    <vt:lpstr>1486d354-e10e-4a46-aa10-a4f643bdd5ac</vt:lpstr>
  </property>
</Properties>
</file>